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2240" w14:textId="77777777" w:rsidR="0060465D" w:rsidRDefault="0060465D" w:rsidP="00A81CA5">
      <w:pPr>
        <w:pStyle w:val="Heading1"/>
        <w:spacing w:after="240"/>
        <w:ind w:firstLine="0"/>
        <w:rPr>
          <w:rFonts w:cs="Times New Roman"/>
          <w:szCs w:val="24"/>
        </w:rPr>
      </w:pPr>
    </w:p>
    <w:p w14:paraId="3D2AD44D" w14:textId="77777777" w:rsidR="0060465D" w:rsidRDefault="0060465D" w:rsidP="00F06307">
      <w:pPr>
        <w:pStyle w:val="Heading1"/>
        <w:spacing w:after="240"/>
        <w:ind w:firstLine="0"/>
        <w:jc w:val="center"/>
        <w:rPr>
          <w:rFonts w:cs="Times New Roman"/>
          <w:szCs w:val="24"/>
        </w:rPr>
      </w:pPr>
    </w:p>
    <w:p w14:paraId="6265ADAA" w14:textId="77777777" w:rsidR="0060465D" w:rsidRDefault="0060465D" w:rsidP="00F06307">
      <w:pPr>
        <w:pStyle w:val="Heading1"/>
        <w:spacing w:after="240"/>
        <w:ind w:firstLine="0"/>
        <w:jc w:val="center"/>
        <w:rPr>
          <w:rFonts w:cs="Times New Roman"/>
          <w:szCs w:val="24"/>
        </w:rPr>
      </w:pPr>
    </w:p>
    <w:p w14:paraId="75A2E241" w14:textId="4E483D74" w:rsidR="00652E5D" w:rsidRPr="00720140" w:rsidRDefault="008A5708" w:rsidP="006D149A">
      <w:pPr>
        <w:pStyle w:val="Heading1"/>
        <w:jc w:val="center"/>
      </w:pPr>
      <w:r w:rsidRPr="00720140">
        <w:t>Universal Design for Learning</w:t>
      </w:r>
      <w:r w:rsidR="002E2B57" w:rsidRPr="00720140">
        <w:t>:</w:t>
      </w:r>
      <w:r w:rsidR="00652E5D" w:rsidRPr="00720140">
        <w:t xml:space="preserve"> A Basis </w:t>
      </w:r>
      <w:r w:rsidRPr="00720140">
        <w:t>in</w:t>
      </w:r>
      <w:r w:rsidR="00652E5D" w:rsidRPr="00720140">
        <w:t xml:space="preserve"> </w:t>
      </w:r>
      <w:r w:rsidRPr="00720140">
        <w:t>Phaneroscopy</w:t>
      </w:r>
      <w:r w:rsidR="00652E5D" w:rsidRPr="00720140">
        <w:t>?</w:t>
      </w:r>
      <w:r w:rsidR="00961738" w:rsidRPr="00720140">
        <w:rPr>
          <w:rStyle w:val="FootnoteReference"/>
          <w:b w:val="0"/>
          <w:bCs w:val="0"/>
        </w:rPr>
        <w:footnoteReference w:id="1"/>
      </w:r>
    </w:p>
    <w:p w14:paraId="720A7300" w14:textId="15EACCAD" w:rsidR="0060465D" w:rsidRPr="00720140" w:rsidRDefault="0060465D" w:rsidP="0060465D"/>
    <w:p w14:paraId="0D6C4CC1" w14:textId="4192D099" w:rsidR="000655E3" w:rsidRPr="00720140" w:rsidRDefault="000655E3" w:rsidP="0060465D">
      <w:pPr>
        <w:ind w:firstLine="0"/>
        <w:jc w:val="center"/>
      </w:pPr>
      <w:r w:rsidRPr="00720140">
        <w:t>Stefan</w:t>
      </w:r>
      <w:r w:rsidR="00A617C8" w:rsidRPr="00720140">
        <w:t xml:space="preserve"> </w:t>
      </w:r>
      <w:r w:rsidRPr="00720140">
        <w:t>Sunandan</w:t>
      </w:r>
      <w:r w:rsidR="00A617C8" w:rsidRPr="00720140">
        <w:t xml:space="preserve"> </w:t>
      </w:r>
      <w:r w:rsidRPr="00720140">
        <w:t>Honisch</w:t>
      </w:r>
      <w:r w:rsidR="0044032F" w:rsidRPr="00720140">
        <w:t>,</w:t>
      </w:r>
      <w:r w:rsidR="00A617C8" w:rsidRPr="00720140">
        <w:t xml:space="preserve"> </w:t>
      </w:r>
      <w:r w:rsidRPr="00720140">
        <w:t>PhD</w:t>
      </w:r>
    </w:p>
    <w:p w14:paraId="6BBABE1F" w14:textId="3859594C" w:rsidR="0060465D" w:rsidRPr="00720140" w:rsidRDefault="000655E3" w:rsidP="0060465D">
      <w:pPr>
        <w:ind w:firstLine="0"/>
        <w:jc w:val="center"/>
      </w:pPr>
      <w:r w:rsidRPr="00720140">
        <w:t>Banting Postdoctoral Fellow</w:t>
      </w:r>
      <w:r w:rsidR="0060465D" w:rsidRPr="00720140">
        <w:br/>
      </w:r>
      <w:r w:rsidRPr="00720140">
        <w:t>Department of Theatre and Film, University of British Columbia</w:t>
      </w:r>
    </w:p>
    <w:p w14:paraId="7B08E6FA" w14:textId="493A43C4" w:rsidR="000655E3" w:rsidRPr="00720140" w:rsidRDefault="000655E3" w:rsidP="0060465D">
      <w:pPr>
        <w:ind w:firstLine="0"/>
        <w:jc w:val="center"/>
      </w:pPr>
      <w:r w:rsidRPr="00720140">
        <w:t>Email: shonisch@mail.ubc.ca</w:t>
      </w:r>
    </w:p>
    <w:p w14:paraId="4C0E23E2" w14:textId="77777777" w:rsidR="009474BF" w:rsidRPr="00720140" w:rsidRDefault="009474BF">
      <w:pPr>
        <w:ind w:firstLine="0"/>
        <w:rPr>
          <w:b/>
          <w:bCs/>
        </w:rPr>
      </w:pPr>
      <w:r w:rsidRPr="00720140">
        <w:rPr>
          <w:b/>
          <w:bCs/>
        </w:rPr>
        <w:br w:type="page"/>
      </w:r>
    </w:p>
    <w:p w14:paraId="158936F4" w14:textId="58FF0FCD" w:rsidR="0060465D" w:rsidRPr="00720140" w:rsidRDefault="0060465D" w:rsidP="00C44F38">
      <w:pPr>
        <w:pStyle w:val="Heading1"/>
        <w:jc w:val="center"/>
      </w:pPr>
      <w:r w:rsidRPr="00720140">
        <w:lastRenderedPageBreak/>
        <w:t>Abstract</w:t>
      </w:r>
    </w:p>
    <w:p w14:paraId="55794F31" w14:textId="2DDFA44D" w:rsidR="00554A6A" w:rsidRPr="00720140" w:rsidRDefault="00554A6A" w:rsidP="00554A6A">
      <w:pPr>
        <w:ind w:firstLine="0"/>
      </w:pPr>
      <w:r w:rsidRPr="00720140">
        <w:t xml:space="preserve">This </w:t>
      </w:r>
      <w:r w:rsidR="00AB12A7" w:rsidRPr="00720140">
        <w:t xml:space="preserve">article </w:t>
      </w:r>
      <w:r w:rsidRPr="00720140">
        <w:t xml:space="preserve">proposes a way to </w:t>
      </w:r>
      <w:r w:rsidR="009C62F0" w:rsidRPr="00720140">
        <w:t>disentangle the</w:t>
      </w:r>
      <w:r w:rsidR="00AB12A7" w:rsidRPr="00720140">
        <w:t xml:space="preserve"> skein</w:t>
      </w:r>
      <w:r w:rsidRPr="00720140">
        <w:t xml:space="preserve"> </w:t>
      </w:r>
      <w:r w:rsidR="008F24AC" w:rsidRPr="00720140">
        <w:t xml:space="preserve">of possibilities and impossibilities threaded through </w:t>
      </w:r>
      <w:r w:rsidRPr="00720140">
        <w:t>Universal Design for Learning (henceforth UDL)</w:t>
      </w:r>
      <w:r w:rsidR="00287528" w:rsidRPr="00720140">
        <w:t>, and Disability Studies, a</w:t>
      </w:r>
      <w:r w:rsidR="006D149A" w:rsidRPr="00720140">
        <w:t>ttending to</w:t>
      </w:r>
      <w:r w:rsidR="00287528" w:rsidRPr="00720140">
        <w:t xml:space="preserve"> their</w:t>
      </w:r>
      <w:r w:rsidRPr="00720140">
        <w:t xml:space="preserve"> </w:t>
      </w:r>
      <w:r w:rsidR="006D149A" w:rsidRPr="00720140">
        <w:t xml:space="preserve">distinctive </w:t>
      </w:r>
      <w:r w:rsidR="007719AA" w:rsidRPr="00720140">
        <w:t>way</w:t>
      </w:r>
      <w:r w:rsidR="00287528" w:rsidRPr="00720140">
        <w:t>s</w:t>
      </w:r>
      <w:r w:rsidR="007719AA" w:rsidRPr="00720140">
        <w:t xml:space="preserve"> of</w:t>
      </w:r>
      <w:r w:rsidR="008F24AC" w:rsidRPr="00720140">
        <w:t xml:space="preserve"> </w:t>
      </w:r>
      <w:r w:rsidR="007719AA" w:rsidRPr="00720140">
        <w:t>engaging with, representing, and acting upon</w:t>
      </w:r>
      <w:r w:rsidR="008F24AC" w:rsidRPr="00720140">
        <w:t xml:space="preserve"> disability access</w:t>
      </w:r>
      <w:r w:rsidR="007719AA" w:rsidRPr="00720140">
        <w:t>, and inclusion</w:t>
      </w:r>
      <w:r w:rsidR="008F24AC" w:rsidRPr="00720140">
        <w:t xml:space="preserve"> in university</w:t>
      </w:r>
      <w:r w:rsidR="00020CC7" w:rsidRPr="00720140">
        <w:t xml:space="preserve"> education and research (Goegan et al., 2018)</w:t>
      </w:r>
      <w:r w:rsidRPr="00720140">
        <w:t>.</w:t>
      </w:r>
      <w:r w:rsidR="00AB12A7" w:rsidRPr="00720140">
        <w:rPr>
          <w:rStyle w:val="FootnoteReference"/>
        </w:rPr>
        <w:footnoteReference w:id="2"/>
      </w:r>
      <w:r w:rsidR="00025008" w:rsidRPr="00720140">
        <w:t xml:space="preserve"> </w:t>
      </w:r>
      <w:r w:rsidR="006D149A" w:rsidRPr="00720140">
        <w:t>My discussion</w:t>
      </w:r>
      <w:r w:rsidR="00025008" w:rsidRPr="00720140">
        <w:t xml:space="preserve"> bring</w:t>
      </w:r>
      <w:r w:rsidR="006D149A" w:rsidRPr="00720140">
        <w:t>s</w:t>
      </w:r>
      <w:r w:rsidR="00025008" w:rsidRPr="00720140">
        <w:t xml:space="preserve"> to bear a method comprising</w:t>
      </w:r>
      <w:r w:rsidRPr="00720140">
        <w:t xml:space="preserve"> the descriptive </w:t>
      </w:r>
      <w:r w:rsidR="006D149A" w:rsidRPr="00720140">
        <w:t>priorities</w:t>
      </w:r>
      <w:r w:rsidRPr="00720140">
        <w:t xml:space="preserve"> of phenomenology, or phaneroscopy, and the interpretive apparatus of semiotic</w:t>
      </w:r>
      <w:r w:rsidR="00287528" w:rsidRPr="00720140">
        <w:t>s</w:t>
      </w:r>
      <w:r w:rsidRPr="00720140">
        <w:t xml:space="preserve">, </w:t>
      </w:r>
      <w:r w:rsidR="00025008" w:rsidRPr="00720140">
        <w:t>in their elaborate codification</w:t>
      </w:r>
      <w:r w:rsidRPr="00720140">
        <w:t xml:space="preserve"> by the pragmaticist philosopher Charles Sanders Peirce (1839-1914). </w:t>
      </w:r>
      <w:r w:rsidR="006D149A" w:rsidRPr="00720140">
        <w:t xml:space="preserve">Within </w:t>
      </w:r>
      <w:r w:rsidRPr="00720140">
        <w:t xml:space="preserve">the UDL guiding principles of providing teachers and students with </w:t>
      </w:r>
      <w:r w:rsidR="005A2EE1" w:rsidRPr="00720140">
        <w:t>flexible</w:t>
      </w:r>
      <w:r w:rsidRPr="00720140">
        <w:t xml:space="preserve"> and varied ways to </w:t>
      </w:r>
      <w:r w:rsidR="00CA775D" w:rsidRPr="00720140">
        <w:t>work in concert towards educational ends</w:t>
      </w:r>
      <w:r w:rsidR="006D149A" w:rsidRPr="00720140">
        <w:t>,</w:t>
      </w:r>
      <w:r w:rsidRPr="00720140">
        <w:t xml:space="preserve"> </w:t>
      </w:r>
      <w:r w:rsidR="006D149A" w:rsidRPr="00720140">
        <w:t xml:space="preserve">I find </w:t>
      </w:r>
      <w:r w:rsidRPr="00720140">
        <w:t xml:space="preserve">a </w:t>
      </w:r>
      <w:r w:rsidR="0043488F" w:rsidRPr="00720140">
        <w:t xml:space="preserve">veritable </w:t>
      </w:r>
      <w:r w:rsidRPr="00720140">
        <w:t xml:space="preserve">semiotic font, teeming with </w:t>
      </w:r>
      <w:r w:rsidRPr="00720140">
        <w:rPr>
          <w:i/>
          <w:iCs/>
        </w:rPr>
        <w:t>signs of possibility and impossibility</w:t>
      </w:r>
      <w:r w:rsidRPr="00720140">
        <w:t xml:space="preserve"> </w:t>
      </w:r>
      <w:r w:rsidR="00C44F38" w:rsidRPr="00720140">
        <w:t xml:space="preserve">that </w:t>
      </w:r>
      <w:r w:rsidRPr="00720140">
        <w:t>lie outside pragmaticism’s more familiar areas of study. UDL</w:t>
      </w:r>
      <w:r w:rsidR="00C44F38" w:rsidRPr="00720140">
        <w:t>’s</w:t>
      </w:r>
      <w:r w:rsidRPr="00720140">
        <w:t xml:space="preserve"> difficult relationship with Disability Studies </w:t>
      </w:r>
      <w:r w:rsidR="00C44F38" w:rsidRPr="00720140">
        <w:t>amplif</w:t>
      </w:r>
      <w:r w:rsidR="006D149A" w:rsidRPr="00720140">
        <w:t>ies</w:t>
      </w:r>
      <w:r w:rsidR="00C44F38" w:rsidRPr="00720140">
        <w:t xml:space="preserve"> </w:t>
      </w:r>
      <w:r w:rsidR="006D149A" w:rsidRPr="00720140">
        <w:t>their</w:t>
      </w:r>
      <w:r w:rsidRPr="00720140">
        <w:t xml:space="preserve"> </w:t>
      </w:r>
      <w:r w:rsidR="00CA775D" w:rsidRPr="00720140">
        <w:t>sharply dissonant</w:t>
      </w:r>
      <w:r w:rsidRPr="00720140">
        <w:t xml:space="preserve"> perspectives on </w:t>
      </w:r>
      <w:r w:rsidR="0043488F" w:rsidRPr="00720140">
        <w:t xml:space="preserve">disability </w:t>
      </w:r>
      <w:r w:rsidRPr="00720140">
        <w:t>access</w:t>
      </w:r>
      <w:r w:rsidR="00C44F38" w:rsidRPr="00720140">
        <w:t xml:space="preserve"> constituted through the activities of</w:t>
      </w:r>
      <w:r w:rsidRPr="00720140">
        <w:t xml:space="preserve"> teaching, and learning</w:t>
      </w:r>
      <w:r w:rsidR="006D149A" w:rsidRPr="00720140">
        <w:t>. I suggest that the</w:t>
      </w:r>
      <w:r w:rsidR="00E03ADB" w:rsidRPr="00720140">
        <w:t>se</w:t>
      </w:r>
      <w:r w:rsidR="006D149A" w:rsidRPr="00720140">
        <w:t xml:space="preserve"> moments of discord </w:t>
      </w:r>
      <w:r w:rsidR="00CA626E" w:rsidRPr="00720140">
        <w:t xml:space="preserve">can be perceived as multi-voiced engagements with aspects of experience amenable to both </w:t>
      </w:r>
      <w:r w:rsidR="005A2EE1" w:rsidRPr="00720140">
        <w:t xml:space="preserve">phaneroscopic </w:t>
      </w:r>
      <w:r w:rsidR="00CA626E" w:rsidRPr="00720140">
        <w:t xml:space="preserve">description and </w:t>
      </w:r>
      <w:r w:rsidR="005A2EE1" w:rsidRPr="00720140">
        <w:t xml:space="preserve">semiotic </w:t>
      </w:r>
      <w:r w:rsidR="00CA626E" w:rsidRPr="00720140">
        <w:t xml:space="preserve">interpretation. For this reason, I offer </w:t>
      </w:r>
      <w:r w:rsidRPr="00720140">
        <w:t>phaneroscopy and semiotic</w:t>
      </w:r>
      <w:r w:rsidR="006D149A" w:rsidRPr="00720140">
        <w:t>s</w:t>
      </w:r>
      <w:r w:rsidR="00CA626E" w:rsidRPr="00720140">
        <w:t xml:space="preserve"> as</w:t>
      </w:r>
      <w:r w:rsidRPr="00720140">
        <w:t xml:space="preserve"> methodological building blocks that </w:t>
      </w:r>
      <w:r w:rsidR="006D149A" w:rsidRPr="00720140">
        <w:t>provide UDL with a sturdy philosophical basis</w:t>
      </w:r>
      <w:r w:rsidR="00CA626E" w:rsidRPr="00720140">
        <w:t xml:space="preserve"> for </w:t>
      </w:r>
      <w:r w:rsidR="00E03ADB" w:rsidRPr="00720140">
        <w:t xml:space="preserve">charting </w:t>
      </w:r>
      <w:r w:rsidR="00CA626E" w:rsidRPr="00720140">
        <w:t>disability’s uneasy movements between the particular and the universal</w:t>
      </w:r>
      <w:r w:rsidRPr="00720140">
        <w:t>.</w:t>
      </w:r>
    </w:p>
    <w:p w14:paraId="1123C20D" w14:textId="3074A0D0" w:rsidR="0060465D" w:rsidRPr="00720140" w:rsidRDefault="0060465D" w:rsidP="0060465D">
      <w:pPr>
        <w:rPr>
          <w:color w:val="000000" w:themeColor="text1"/>
        </w:rPr>
      </w:pPr>
      <w:r w:rsidRPr="00720140">
        <w:rPr>
          <w:i/>
          <w:iCs/>
          <w:color w:val="000000" w:themeColor="text1"/>
        </w:rPr>
        <w:t>Keywords</w:t>
      </w:r>
      <w:r w:rsidRPr="00720140">
        <w:rPr>
          <w:color w:val="000000" w:themeColor="text1"/>
        </w:rPr>
        <w:t xml:space="preserve">: </w:t>
      </w:r>
      <w:r w:rsidR="00652E5D" w:rsidRPr="00720140">
        <w:rPr>
          <w:color w:val="000000" w:themeColor="text1"/>
        </w:rPr>
        <w:t>p</w:t>
      </w:r>
      <w:r w:rsidR="00CA775D" w:rsidRPr="00720140">
        <w:rPr>
          <w:color w:val="000000" w:themeColor="text1"/>
        </w:rPr>
        <w:t>haneroscopy</w:t>
      </w:r>
      <w:r w:rsidR="00554A6A" w:rsidRPr="00720140">
        <w:rPr>
          <w:color w:val="000000" w:themeColor="text1"/>
        </w:rPr>
        <w:t xml:space="preserve">, </w:t>
      </w:r>
      <w:r w:rsidR="00652E5D" w:rsidRPr="00720140">
        <w:rPr>
          <w:color w:val="000000" w:themeColor="text1"/>
        </w:rPr>
        <w:t>s</w:t>
      </w:r>
      <w:r w:rsidR="00525BFE" w:rsidRPr="00720140">
        <w:rPr>
          <w:color w:val="000000" w:themeColor="text1"/>
        </w:rPr>
        <w:t xml:space="preserve">emiotic, </w:t>
      </w:r>
      <w:r w:rsidR="00652E5D" w:rsidRPr="00720140">
        <w:rPr>
          <w:color w:val="000000" w:themeColor="text1"/>
        </w:rPr>
        <w:t>p</w:t>
      </w:r>
      <w:r w:rsidR="00525BFE" w:rsidRPr="00720140">
        <w:rPr>
          <w:color w:val="000000" w:themeColor="text1"/>
        </w:rPr>
        <w:t xml:space="preserve">ragmaticism, </w:t>
      </w:r>
      <w:r w:rsidR="00CA775D" w:rsidRPr="00720140">
        <w:rPr>
          <w:color w:val="000000" w:themeColor="text1"/>
        </w:rPr>
        <w:t>Universal Design for Learning</w:t>
      </w:r>
    </w:p>
    <w:p w14:paraId="28ECB34A" w14:textId="77777777" w:rsidR="0060465D" w:rsidRPr="00720140" w:rsidRDefault="0060465D">
      <w:pPr>
        <w:ind w:firstLine="0"/>
      </w:pPr>
      <w:r w:rsidRPr="00720140">
        <w:br w:type="page"/>
      </w:r>
    </w:p>
    <w:p w14:paraId="65AACF1E" w14:textId="55C72952" w:rsidR="00FD60AE" w:rsidRPr="00720140" w:rsidRDefault="008A5708" w:rsidP="00706F1B">
      <w:pPr>
        <w:snapToGrid w:val="0"/>
        <w:spacing w:after="240"/>
        <w:ind w:firstLine="0"/>
        <w:jc w:val="center"/>
        <w:rPr>
          <w:b/>
          <w:bCs/>
        </w:rPr>
      </w:pPr>
      <w:r w:rsidRPr="00720140">
        <w:rPr>
          <w:b/>
          <w:bCs/>
        </w:rPr>
        <w:lastRenderedPageBreak/>
        <w:t>Universal Design for Learning</w:t>
      </w:r>
      <w:r w:rsidR="00F9588E" w:rsidRPr="00720140">
        <w:rPr>
          <w:b/>
          <w:bCs/>
        </w:rPr>
        <w:t xml:space="preserve">: A Basis </w:t>
      </w:r>
      <w:r w:rsidRPr="00720140">
        <w:rPr>
          <w:b/>
          <w:bCs/>
        </w:rPr>
        <w:t>in Phaneroscopy?</w:t>
      </w:r>
    </w:p>
    <w:p w14:paraId="133E1AF5" w14:textId="45018C6D" w:rsidR="005D672E" w:rsidRPr="00720140" w:rsidRDefault="005D672E" w:rsidP="00706F1B">
      <w:pPr>
        <w:snapToGrid w:val="0"/>
        <w:spacing w:after="240" w:line="240" w:lineRule="auto"/>
        <w:ind w:firstLine="0"/>
        <w:jc w:val="center"/>
        <w:rPr>
          <w:b/>
          <w:bCs/>
        </w:rPr>
      </w:pPr>
      <w:r w:rsidRPr="00720140">
        <w:t xml:space="preserve">The cliché we use most often when thinking of social normalcy is “thinking outside the box” and I’m here to tell you that the disabled are always outside the box. This is where all our thinking and working occurs. </w:t>
      </w:r>
      <w:r w:rsidR="004C3F37" w:rsidRPr="00720140">
        <w:t>(</w:t>
      </w:r>
      <w:r w:rsidRPr="00720140">
        <w:t xml:space="preserve">Kuusisto, </w:t>
      </w:r>
      <w:r w:rsidR="004C3F37" w:rsidRPr="00720140">
        <w:t>2020</w:t>
      </w:r>
      <w:r w:rsidR="00554A6A" w:rsidRPr="00720140">
        <w:t>)</w:t>
      </w:r>
    </w:p>
    <w:p w14:paraId="4CA0B64F" w14:textId="39EB3335" w:rsidR="00706F1B" w:rsidRPr="00720140" w:rsidRDefault="00A81CA5" w:rsidP="00D664BA">
      <w:pPr>
        <w:spacing w:after="120" w:line="240" w:lineRule="auto"/>
        <w:ind w:firstLine="0"/>
        <w:jc w:val="center"/>
      </w:pPr>
      <w:r w:rsidRPr="00720140">
        <w:t>“</w:t>
      </w:r>
      <w:r w:rsidR="007968CF" w:rsidRPr="00720140">
        <w:t>Of course</w:t>
      </w:r>
      <w:r w:rsidR="00554A6A" w:rsidRPr="00720140">
        <w:t>,</w:t>
      </w:r>
      <w:r w:rsidR="007968CF" w:rsidRPr="00720140">
        <w:t xml:space="preserve"> I have something to say to you; but I have nothing to tell you</w:t>
      </w:r>
      <w:r w:rsidR="006705B4" w:rsidRPr="00720140">
        <w:t>.</w:t>
      </w:r>
      <w:r w:rsidRPr="00720140">
        <w:t>”</w:t>
      </w:r>
      <w:r w:rsidR="007968CF" w:rsidRPr="00720140">
        <w:t xml:space="preserve"> (Peirce, </w:t>
      </w:r>
      <w:r w:rsidR="007968CF" w:rsidRPr="00720140">
        <w:rPr>
          <w:i/>
          <w:iCs/>
        </w:rPr>
        <w:t>MS 598</w:t>
      </w:r>
      <w:r w:rsidR="007968CF" w:rsidRPr="00720140">
        <w:t>)</w:t>
      </w:r>
    </w:p>
    <w:p w14:paraId="0F18479B" w14:textId="77777777" w:rsidR="00D664BA" w:rsidRPr="00720140" w:rsidRDefault="00D664BA" w:rsidP="00D664BA">
      <w:pPr>
        <w:spacing w:line="240" w:lineRule="auto"/>
        <w:ind w:firstLine="0"/>
        <w:jc w:val="center"/>
      </w:pPr>
    </w:p>
    <w:p w14:paraId="6CFA5743" w14:textId="770CD8A7" w:rsidR="00FA537C" w:rsidRPr="00720140" w:rsidRDefault="006A2FEA" w:rsidP="00444988">
      <w:pPr>
        <w:pStyle w:val="Heading1"/>
      </w:pPr>
      <w:r w:rsidRPr="00720140">
        <w:t>Introduction</w:t>
      </w:r>
      <w:r w:rsidR="003640C1" w:rsidRPr="00720140">
        <w:t>: A Skein of Disability</w:t>
      </w:r>
    </w:p>
    <w:p w14:paraId="04504439" w14:textId="5E438FCB" w:rsidR="00661950" w:rsidRPr="00720140" w:rsidRDefault="00E36CE6" w:rsidP="003C2A3E">
      <w:r w:rsidRPr="00720140">
        <w:t>Th</w:t>
      </w:r>
      <w:r w:rsidR="003B6C46" w:rsidRPr="00720140">
        <w:t xml:space="preserve">is paper </w:t>
      </w:r>
      <w:r w:rsidR="00831420" w:rsidRPr="00720140">
        <w:t xml:space="preserve">proposes a way to </w:t>
      </w:r>
      <w:r w:rsidR="00661950" w:rsidRPr="00720140">
        <w:t>disentangle the skein</w:t>
      </w:r>
      <w:r w:rsidR="00525BFE" w:rsidRPr="00720140">
        <w:t xml:space="preserve"> </w:t>
      </w:r>
      <w:r w:rsidR="003E6840" w:rsidRPr="00720140">
        <w:t xml:space="preserve">of possibilities </w:t>
      </w:r>
      <w:r w:rsidR="00C61B87" w:rsidRPr="00720140">
        <w:t xml:space="preserve">and impossibilities </w:t>
      </w:r>
      <w:r w:rsidR="003E6840" w:rsidRPr="00720140">
        <w:t xml:space="preserve">that </w:t>
      </w:r>
      <w:r w:rsidR="00525BFE" w:rsidRPr="00720140">
        <w:t xml:space="preserve">Universal Design for Learning (henceforth UDL) </w:t>
      </w:r>
      <w:r w:rsidR="003E6840" w:rsidRPr="00720140">
        <w:t xml:space="preserve">presents to </w:t>
      </w:r>
      <w:r w:rsidR="00F5499D" w:rsidRPr="00720140">
        <w:t>disability</w:t>
      </w:r>
      <w:r w:rsidR="00C61B87" w:rsidRPr="00720140">
        <w:t xml:space="preserve"> </w:t>
      </w:r>
      <w:r w:rsidR="00F5499D" w:rsidRPr="00720140">
        <w:t>access</w:t>
      </w:r>
      <w:r w:rsidR="00C61B87" w:rsidRPr="00720140">
        <w:t xml:space="preserve"> practices in the university</w:t>
      </w:r>
      <w:r w:rsidR="007116B4" w:rsidRPr="00720140">
        <w:t xml:space="preserve"> (Dolmage, 2017; Kuusisto, 2019)</w:t>
      </w:r>
      <w:r w:rsidR="00C61B87" w:rsidRPr="00720140">
        <w:t>.</w:t>
      </w:r>
      <w:r w:rsidR="006A2FEA" w:rsidRPr="00720140">
        <w:t xml:space="preserve"> </w:t>
      </w:r>
      <w:r w:rsidR="00C61B87" w:rsidRPr="00720140">
        <w:t>Attending</w:t>
      </w:r>
      <w:r w:rsidR="00525BFE" w:rsidRPr="00720140">
        <w:t xml:space="preserve"> to</w:t>
      </w:r>
      <w:r w:rsidR="00260E1A" w:rsidRPr="00720140">
        <w:t xml:space="preserve"> </w:t>
      </w:r>
      <w:r w:rsidR="00C61B87" w:rsidRPr="00720140">
        <w:t xml:space="preserve">moments </w:t>
      </w:r>
      <w:r w:rsidR="00831420" w:rsidRPr="00720140">
        <w:t xml:space="preserve">of concord, and </w:t>
      </w:r>
      <w:r w:rsidR="00C61B87" w:rsidRPr="00720140">
        <w:t xml:space="preserve">of </w:t>
      </w:r>
      <w:r w:rsidR="00831420" w:rsidRPr="00720140">
        <w:t xml:space="preserve">disagreement between </w:t>
      </w:r>
      <w:r w:rsidR="001A2D0C" w:rsidRPr="00720140">
        <w:t xml:space="preserve">UDL </w:t>
      </w:r>
      <w:r w:rsidR="00831420" w:rsidRPr="00720140">
        <w:t>and Disability Studies</w:t>
      </w:r>
      <w:r w:rsidR="004F01A2" w:rsidRPr="00720140">
        <w:t xml:space="preserve"> in their respective </w:t>
      </w:r>
      <w:r w:rsidR="001E2999" w:rsidRPr="00720140">
        <w:t>aspirations toward</w:t>
      </w:r>
      <w:r w:rsidR="004F01A2" w:rsidRPr="00720140">
        <w:t xml:space="preserve"> </w:t>
      </w:r>
      <w:r w:rsidR="001E2999" w:rsidRPr="00720140">
        <w:t xml:space="preserve">inclusive curricula and pedagogy, </w:t>
      </w:r>
      <w:r w:rsidR="004F01A2" w:rsidRPr="00720140">
        <w:t>these pages bring into consideration the descriptive method of phaneroscopy</w:t>
      </w:r>
      <w:r w:rsidR="00E03ADB" w:rsidRPr="00720140">
        <w:t>, and the interpretive procedures of semiotics</w:t>
      </w:r>
      <w:r w:rsidR="004F01A2" w:rsidRPr="00720140">
        <w:t xml:space="preserve"> developed by the pragmaticist philosopher Charles Sanders Peirce (1839-1914)</w:t>
      </w:r>
      <w:r w:rsidR="00831420" w:rsidRPr="00720140">
        <w:t>.</w:t>
      </w:r>
      <w:r w:rsidR="00624E1D" w:rsidRPr="00720140">
        <w:rPr>
          <w:rStyle w:val="FootnoteReference"/>
        </w:rPr>
        <w:footnoteReference w:id="3"/>
      </w:r>
      <w:r w:rsidR="009B20D0" w:rsidRPr="00720140">
        <w:t xml:space="preserve"> </w:t>
      </w:r>
      <w:r w:rsidR="00661950" w:rsidRPr="00720140">
        <w:t xml:space="preserve">Peirce’s elaborate working out of semiotics, </w:t>
      </w:r>
      <w:r w:rsidR="00EC125D" w:rsidRPr="00720140">
        <w:t>enfolding an</w:t>
      </w:r>
      <w:r w:rsidR="001E2999" w:rsidRPr="00720140">
        <w:t xml:space="preserve"> analytical metho</w:t>
      </w:r>
      <w:r w:rsidR="00EC125D" w:rsidRPr="00720140">
        <w:t>d derived from his painstaking categorization of signs, is</w:t>
      </w:r>
      <w:r w:rsidR="001E2999" w:rsidRPr="00720140">
        <w:t xml:space="preserve"> </w:t>
      </w:r>
      <w:r w:rsidR="00661950" w:rsidRPr="00720140">
        <w:t>arguably the most well-known facet of his pragmaticism</w:t>
      </w:r>
      <w:r w:rsidR="001E2999" w:rsidRPr="00720140">
        <w:t>.</w:t>
      </w:r>
      <w:r w:rsidR="00661950" w:rsidRPr="00720140">
        <w:t xml:space="preserve"> </w:t>
      </w:r>
      <w:r w:rsidR="005A2EE1" w:rsidRPr="00720140">
        <w:t>While i</w:t>
      </w:r>
      <w:r w:rsidR="00EC125D" w:rsidRPr="00720140">
        <w:t>nterconnected with its phaneroscopic bas</w:t>
      </w:r>
      <w:r w:rsidR="00C44F38" w:rsidRPr="00720140">
        <w:t>is</w:t>
      </w:r>
      <w:r w:rsidR="00EC125D" w:rsidRPr="00720140">
        <w:t xml:space="preserve">, </w:t>
      </w:r>
      <w:r w:rsidR="00C44F38" w:rsidRPr="00720140">
        <w:t>the entirety of Peirce’s semiotics</w:t>
      </w:r>
      <w:r w:rsidR="006A2FEA" w:rsidRPr="00720140">
        <w:t xml:space="preserve"> </w:t>
      </w:r>
      <w:r w:rsidR="005A2EE1" w:rsidRPr="00720140">
        <w:t xml:space="preserve">nevertheless </w:t>
      </w:r>
      <w:r w:rsidR="006A2FEA" w:rsidRPr="00720140">
        <w:t>extends</w:t>
      </w:r>
      <w:r w:rsidR="00EC125D" w:rsidRPr="00720140">
        <w:t xml:space="preserve"> </w:t>
      </w:r>
      <w:r w:rsidR="00661950" w:rsidRPr="00720140">
        <w:t xml:space="preserve">beyond </w:t>
      </w:r>
      <w:r w:rsidR="00EA5D09" w:rsidRPr="00720140">
        <w:t>my present philosophical ambit</w:t>
      </w:r>
      <w:r w:rsidR="00661950" w:rsidRPr="00720140">
        <w:t>.</w:t>
      </w:r>
      <w:r w:rsidR="00034A0B" w:rsidRPr="00720140">
        <w:t xml:space="preserve"> </w:t>
      </w:r>
      <w:r w:rsidR="005A2EE1" w:rsidRPr="00720140">
        <w:t>Pressing forward with my</w:t>
      </w:r>
      <w:r w:rsidR="00267834" w:rsidRPr="00720140">
        <w:t xml:space="preserve"> narrower aims, I</w:t>
      </w:r>
      <w:r w:rsidR="003C2A3E" w:rsidRPr="00720140">
        <w:t xml:space="preserve"> bring to bear both Peircean phaneroscopy and semiotics</w:t>
      </w:r>
      <w:r w:rsidR="00B8549E" w:rsidRPr="00720140">
        <w:t xml:space="preserve"> to mark the transition points between description and interpretatio</w:t>
      </w:r>
      <w:r w:rsidR="003C2A3E" w:rsidRPr="00720140">
        <w:t>n</w:t>
      </w:r>
      <w:r w:rsidR="00E03ADB" w:rsidRPr="00720140">
        <w:t>.</w:t>
      </w:r>
      <w:r w:rsidR="003C2A3E" w:rsidRPr="00720140">
        <w:t xml:space="preserve"> By anchoring my approach to UDL in the </w:t>
      </w:r>
      <w:r w:rsidR="00EA5D09" w:rsidRPr="00720140">
        <w:t xml:space="preserve">fundamental categories </w:t>
      </w:r>
      <w:r w:rsidR="00E03ADB" w:rsidRPr="00720140">
        <w:t xml:space="preserve">of </w:t>
      </w:r>
      <w:r w:rsidR="00E03ADB" w:rsidRPr="00720140">
        <w:rPr>
          <w:i/>
          <w:iCs/>
        </w:rPr>
        <w:t>Firstness</w:t>
      </w:r>
      <w:r w:rsidR="00E03ADB" w:rsidRPr="00720140">
        <w:t xml:space="preserve">, </w:t>
      </w:r>
      <w:r w:rsidR="00E03ADB" w:rsidRPr="00720140">
        <w:rPr>
          <w:i/>
          <w:iCs/>
        </w:rPr>
        <w:t>Secondness</w:t>
      </w:r>
      <w:r w:rsidR="00E03ADB" w:rsidRPr="00720140">
        <w:t xml:space="preserve">, and </w:t>
      </w:r>
      <w:r w:rsidR="00E03ADB" w:rsidRPr="00720140">
        <w:rPr>
          <w:i/>
          <w:iCs/>
        </w:rPr>
        <w:t>Thirdness</w:t>
      </w:r>
      <w:r w:rsidR="00E03ADB" w:rsidRPr="00720140">
        <w:t xml:space="preserve">, </w:t>
      </w:r>
      <w:r w:rsidR="00F34D53" w:rsidRPr="00720140">
        <w:t>through which phaneroscopy</w:t>
      </w:r>
      <w:r w:rsidR="00EA5D09" w:rsidRPr="00720140">
        <w:t xml:space="preserve"> </w:t>
      </w:r>
      <w:r w:rsidR="00E03ADB" w:rsidRPr="00720140">
        <w:t xml:space="preserve">describes </w:t>
      </w:r>
      <w:r w:rsidR="00F34D53" w:rsidRPr="00720140">
        <w:t xml:space="preserve">experience of </w:t>
      </w:r>
      <w:r w:rsidR="00EA5D09" w:rsidRPr="00720140">
        <w:t xml:space="preserve">every conceivable variety, </w:t>
      </w:r>
      <w:r w:rsidR="003C2A3E" w:rsidRPr="00720140">
        <w:t>I</w:t>
      </w:r>
      <w:r w:rsidR="00EA5D09" w:rsidRPr="00720140">
        <w:t xml:space="preserve"> hope </w:t>
      </w:r>
      <w:r w:rsidR="003C2A3E" w:rsidRPr="00720140">
        <w:t>to</w:t>
      </w:r>
      <w:r w:rsidR="00EA5D09" w:rsidRPr="00720140">
        <w:t xml:space="preserve"> </w:t>
      </w:r>
      <w:r w:rsidR="00F34D53" w:rsidRPr="00720140">
        <w:t>say</w:t>
      </w:r>
      <w:r w:rsidR="00EA5D09" w:rsidRPr="00720140">
        <w:t xml:space="preserve"> something </w:t>
      </w:r>
      <w:r w:rsidR="00EA5D09" w:rsidRPr="00720140">
        <w:lastRenderedPageBreak/>
        <w:t xml:space="preserve">of value about their implications for the </w:t>
      </w:r>
      <w:r w:rsidR="003C2A3E" w:rsidRPr="00720140">
        <w:t>learning</w:t>
      </w:r>
      <w:r w:rsidR="00267834" w:rsidRPr="00720140">
        <w:t>’s particular designs, as these take shape</w:t>
      </w:r>
      <w:r w:rsidR="003E6840" w:rsidRPr="00720140">
        <w:t xml:space="preserve"> </w:t>
      </w:r>
      <w:r w:rsidR="006A2FEA" w:rsidRPr="00720140">
        <w:t>when universal aspirations</w:t>
      </w:r>
      <w:r w:rsidR="003640C1" w:rsidRPr="00720140">
        <w:t xml:space="preserve"> meet reality’s</w:t>
      </w:r>
      <w:r w:rsidR="00E03ADB" w:rsidRPr="00720140">
        <w:t xml:space="preserve"> </w:t>
      </w:r>
      <w:r w:rsidR="003640C1" w:rsidRPr="00720140">
        <w:t>disabling compulsions.</w:t>
      </w:r>
    </w:p>
    <w:p w14:paraId="1B14F9B4" w14:textId="652256A1" w:rsidR="006A2FEA" w:rsidRPr="00720140" w:rsidRDefault="00034A0B" w:rsidP="006D149A">
      <w:pPr>
        <w:pStyle w:val="Heading1"/>
      </w:pPr>
      <w:r w:rsidRPr="00720140">
        <w:t>Learning Unboxed</w:t>
      </w:r>
    </w:p>
    <w:p w14:paraId="7925E02E" w14:textId="4AC976E9" w:rsidR="002E6AA1" w:rsidRPr="00720140" w:rsidRDefault="00CD3631" w:rsidP="002E6AA1">
      <w:r w:rsidRPr="00720140">
        <w:t>T</w:t>
      </w:r>
      <w:r w:rsidR="00E27DF3" w:rsidRPr="00720140">
        <w:t xml:space="preserve">he UDL </w:t>
      </w:r>
      <w:r w:rsidR="00267834" w:rsidRPr="00720140">
        <w:t>Guidelines,</w:t>
      </w:r>
      <w:r w:rsidR="00E27DF3" w:rsidRPr="00720140">
        <w:t xml:space="preserve"> </w:t>
      </w:r>
      <w:r w:rsidR="00267834" w:rsidRPr="00720140">
        <w:t>emphasizing</w:t>
      </w:r>
      <w:r w:rsidR="00591A0B" w:rsidRPr="00720140">
        <w:t xml:space="preserve"> multiplicity in education</w:t>
      </w:r>
      <w:r w:rsidR="00E03ADB" w:rsidRPr="00720140">
        <w:t>,</w:t>
      </w:r>
      <w:r w:rsidR="00E27DF3" w:rsidRPr="00720140">
        <w:t xml:space="preserve"> </w:t>
      </w:r>
      <w:r w:rsidR="00267834" w:rsidRPr="00720140">
        <w:t xml:space="preserve">and </w:t>
      </w:r>
      <w:r w:rsidR="00E27DF3" w:rsidRPr="00720140">
        <w:t xml:space="preserve">providing teachers and students with varied ways to interact, discover, reflect, and </w:t>
      </w:r>
      <w:r w:rsidR="006F01E4" w:rsidRPr="00720140">
        <w:t>collaborate</w:t>
      </w:r>
      <w:r w:rsidR="00E03ADB" w:rsidRPr="00720140">
        <w:t>,</w:t>
      </w:r>
      <w:r w:rsidR="006F01E4" w:rsidRPr="00720140">
        <w:t xml:space="preserve"> teem</w:t>
      </w:r>
      <w:r w:rsidR="00E03ADB" w:rsidRPr="00720140">
        <w:t>s</w:t>
      </w:r>
      <w:r w:rsidR="009B20D0" w:rsidRPr="00720140">
        <w:t xml:space="preserve"> with signs of </w:t>
      </w:r>
      <w:r w:rsidR="00E27DF3" w:rsidRPr="00720140">
        <w:t xml:space="preserve">possibility and </w:t>
      </w:r>
      <w:r w:rsidR="009B20D0" w:rsidRPr="00720140">
        <w:t>impossibility</w:t>
      </w:r>
      <w:r w:rsidR="00B8549E" w:rsidRPr="00720140">
        <w:t xml:space="preserve"> that spill readily outside of the small boxes into which learning is too often packed.</w:t>
      </w:r>
    </w:p>
    <w:p w14:paraId="5D5DD684" w14:textId="7BF063FB" w:rsidR="003A15F0" w:rsidRPr="00720140" w:rsidRDefault="00AE5239" w:rsidP="00186FEF">
      <w:r w:rsidRPr="00720140">
        <w:t xml:space="preserve">Peirce </w:t>
      </w:r>
      <w:r w:rsidR="00831420" w:rsidRPr="00720140">
        <w:t xml:space="preserve">explains that phaneroscopy </w:t>
      </w:r>
      <w:r w:rsidRPr="00720140">
        <w:t>a</w:t>
      </w:r>
      <w:r w:rsidR="00831420" w:rsidRPr="00720140">
        <w:t xml:space="preserve">ttends to </w:t>
      </w:r>
      <w:r w:rsidRPr="00720140">
        <w:t>the</w:t>
      </w:r>
      <w:r w:rsidR="002352D0" w:rsidRPr="00720140">
        <w:t xml:space="preserve"> </w:t>
      </w:r>
      <w:r w:rsidR="00552358" w:rsidRPr="00720140">
        <w:t>“collective total of all that is in any way or in any sense present to the mind, quite regardless of whether it corresponds to any real thing or not” (CP, 1.284)</w:t>
      </w:r>
      <w:r w:rsidR="002352D0" w:rsidRPr="00720140">
        <w:t>.</w:t>
      </w:r>
      <w:r w:rsidR="00C1275D" w:rsidRPr="00720140">
        <w:rPr>
          <w:rStyle w:val="FootnoteReference"/>
        </w:rPr>
        <w:footnoteReference w:id="4"/>
      </w:r>
      <w:r w:rsidR="00993254" w:rsidRPr="00720140">
        <w:t xml:space="preserve"> </w:t>
      </w:r>
      <w:r w:rsidR="00831420" w:rsidRPr="00720140">
        <w:t xml:space="preserve">Learning, as it shall be </w:t>
      </w:r>
      <w:r w:rsidR="00B8549E" w:rsidRPr="00720140">
        <w:t xml:space="preserve">represented </w:t>
      </w:r>
      <w:r w:rsidR="00831420" w:rsidRPr="00720140">
        <w:t xml:space="preserve">here, falls within the domain of </w:t>
      </w:r>
      <w:r w:rsidR="00F31A4E" w:rsidRPr="00720140">
        <w:t xml:space="preserve">semiosis, defined by Peirce as “an action, or influence, which is, or involves, a coöperation </w:t>
      </w:r>
      <w:r w:rsidR="00957F5B" w:rsidRPr="00720140">
        <w:t xml:space="preserve">[sic] </w:t>
      </w:r>
      <w:r w:rsidR="00F31A4E" w:rsidRPr="00720140">
        <w:t xml:space="preserve">of three subjects, such as a sign, its object, and its interpretant” </w:t>
      </w:r>
      <w:r w:rsidR="0014796B" w:rsidRPr="00720140">
        <w:t>(CP, 3. 332</w:t>
      </w:r>
      <w:r w:rsidR="00267834" w:rsidRPr="00720140">
        <w:t>, 1934</w:t>
      </w:r>
      <w:r w:rsidR="0014796B" w:rsidRPr="00720140">
        <w:t>).</w:t>
      </w:r>
      <w:r w:rsidR="009A4D18" w:rsidRPr="00720140">
        <w:t xml:space="preserve"> </w:t>
      </w:r>
      <w:r w:rsidR="00F31A4E" w:rsidRPr="00720140">
        <w:t xml:space="preserve">Learning, according to this conception, is </w:t>
      </w:r>
      <w:r w:rsidR="00444988" w:rsidRPr="00720140">
        <w:t>not only a set of activities</w:t>
      </w:r>
      <w:r w:rsidR="00F31A4E" w:rsidRPr="00720140">
        <w:t>, but</w:t>
      </w:r>
      <w:r w:rsidR="009A4D18" w:rsidRPr="00720140">
        <w:t xml:space="preserve"> also a</w:t>
      </w:r>
      <w:r w:rsidR="00E27DF3" w:rsidRPr="00720140">
        <w:t xml:space="preserve"> cognizable entity</w:t>
      </w:r>
      <w:r w:rsidR="00267834" w:rsidRPr="00720140">
        <w:t>, one</w:t>
      </w:r>
      <w:r w:rsidR="00E27DF3" w:rsidRPr="00720140">
        <w:t xml:space="preserve"> that</w:t>
      </w:r>
      <w:r w:rsidR="00597C52" w:rsidRPr="00720140">
        <w:t xml:space="preserve"> lends itself to</w:t>
      </w:r>
      <w:r w:rsidR="009A4D18" w:rsidRPr="00720140">
        <w:t xml:space="preserve"> phaneroscopic description</w:t>
      </w:r>
      <w:r w:rsidR="00F31A4E" w:rsidRPr="00720140">
        <w:t xml:space="preserve"> and</w:t>
      </w:r>
      <w:r w:rsidR="00B8549E" w:rsidRPr="00720140">
        <w:t>, ultimately, to</w:t>
      </w:r>
      <w:r w:rsidR="00F31A4E" w:rsidRPr="00720140">
        <w:t xml:space="preserve"> semiotic analysis</w:t>
      </w:r>
      <w:r w:rsidR="00E27DF3" w:rsidRPr="00720140">
        <w:t>.</w:t>
      </w:r>
      <w:r w:rsidR="009A4D18" w:rsidRPr="00720140">
        <w:t xml:space="preserve"> </w:t>
      </w:r>
      <w:r w:rsidR="00444988" w:rsidRPr="00720140">
        <w:t xml:space="preserve">Because of its receptivity to experience apart from </w:t>
      </w:r>
      <w:r w:rsidR="00E03ADB" w:rsidRPr="00720140">
        <w:t>questions about truth and falsity, worldly presence and absence</w:t>
      </w:r>
      <w:r w:rsidR="00444988" w:rsidRPr="00720140">
        <w:t>, phaneroscopy bequeaths learning</w:t>
      </w:r>
      <w:r w:rsidR="009A4D18" w:rsidRPr="00720140">
        <w:t xml:space="preserve"> </w:t>
      </w:r>
      <w:r w:rsidR="00E27DF3" w:rsidRPr="00720140">
        <w:t xml:space="preserve">an abode all its own, </w:t>
      </w:r>
      <w:r w:rsidR="00E03ADB" w:rsidRPr="00720140">
        <w:t>sheltered from the</w:t>
      </w:r>
      <w:r w:rsidR="009A4D18" w:rsidRPr="00720140">
        <w:t xml:space="preserve"> </w:t>
      </w:r>
      <w:r w:rsidR="00597C52" w:rsidRPr="00720140">
        <w:t xml:space="preserve">humming anxiety about whether </w:t>
      </w:r>
      <w:r w:rsidR="002E2860" w:rsidRPr="00720140">
        <w:t>“atomized bits” of</w:t>
      </w:r>
      <w:r w:rsidR="00597C52" w:rsidRPr="00720140">
        <w:t xml:space="preserve"> learning</w:t>
      </w:r>
      <w:r w:rsidR="002E2860" w:rsidRPr="00720140">
        <w:t xml:space="preserve"> can be squeezed into the boxes of </w:t>
      </w:r>
      <w:r w:rsidR="002E2860" w:rsidRPr="00720140">
        <w:rPr>
          <w:i/>
          <w:iCs/>
        </w:rPr>
        <w:t>outcomes</w:t>
      </w:r>
      <w:r w:rsidR="002E2860" w:rsidRPr="00720140">
        <w:t xml:space="preserve">, </w:t>
      </w:r>
      <w:r w:rsidR="002E2860" w:rsidRPr="00720140">
        <w:rPr>
          <w:i/>
          <w:iCs/>
        </w:rPr>
        <w:lastRenderedPageBreak/>
        <w:t>objectives</w:t>
      </w:r>
      <w:r w:rsidR="002E2860" w:rsidRPr="00720140">
        <w:t>, and other</w:t>
      </w:r>
      <w:r w:rsidR="00597C52" w:rsidRPr="00720140">
        <w:t xml:space="preserve"> </w:t>
      </w:r>
      <w:r w:rsidR="002E2860" w:rsidRPr="00720140">
        <w:t>comforting signposts of bureaucracy</w:t>
      </w:r>
      <w:r w:rsidR="00597C52" w:rsidRPr="00720140">
        <w:t>.</w:t>
      </w:r>
      <w:r w:rsidR="003C4FF7" w:rsidRPr="00720140">
        <w:rPr>
          <w:rStyle w:val="FootnoteReference"/>
        </w:rPr>
        <w:footnoteReference w:id="5"/>
      </w:r>
      <w:r w:rsidR="00EA4910" w:rsidRPr="00720140">
        <w:t xml:space="preserve"> </w:t>
      </w:r>
      <w:r w:rsidR="00831420" w:rsidRPr="00720140">
        <w:t>UDL</w:t>
      </w:r>
      <w:r w:rsidR="006F01E4" w:rsidRPr="00720140">
        <w:t xml:space="preserve">’s </w:t>
      </w:r>
      <w:r w:rsidR="00831420" w:rsidRPr="00720140">
        <w:t xml:space="preserve">relationship </w:t>
      </w:r>
      <w:r w:rsidR="006F01E4" w:rsidRPr="00720140">
        <w:t>to</w:t>
      </w:r>
      <w:r w:rsidR="00831420" w:rsidRPr="00720140">
        <w:t xml:space="preserve"> Disability Studies</w:t>
      </w:r>
      <w:r w:rsidR="00EA4910" w:rsidRPr="00720140">
        <w:t xml:space="preserve"> is made difficult by</w:t>
      </w:r>
      <w:r w:rsidR="00957F5B" w:rsidRPr="00720140">
        <w:t xml:space="preserve"> </w:t>
      </w:r>
      <w:r w:rsidR="00EA4910" w:rsidRPr="00720140">
        <w:t>the former domain’s</w:t>
      </w:r>
      <w:r w:rsidR="00957F5B" w:rsidRPr="00720140">
        <w:t xml:space="preserve"> </w:t>
      </w:r>
      <w:r w:rsidR="006F01E4" w:rsidRPr="00720140">
        <w:t>titular aspirations</w:t>
      </w:r>
      <w:r w:rsidR="00EA4910" w:rsidRPr="00720140">
        <w:t xml:space="preserve"> to universality</w:t>
      </w:r>
      <w:r w:rsidR="006F01E4" w:rsidRPr="00720140">
        <w:t>:</w:t>
      </w:r>
      <w:r w:rsidR="009A4D18" w:rsidRPr="00720140">
        <w:t xml:space="preserve"> </w:t>
      </w:r>
      <w:r w:rsidR="00042087" w:rsidRPr="00720140">
        <w:t>“UDL is the process by which we attempt to ensure that the means for learning, and their results, are equally accessible to all students” (Rose &amp; Gravel, 2010, p. 120).</w:t>
      </w:r>
      <w:r w:rsidR="00C616A0" w:rsidRPr="00720140">
        <w:t xml:space="preserve"> Even with the heavily qualified language, however,</w:t>
      </w:r>
      <w:r w:rsidR="006F01E4" w:rsidRPr="00720140">
        <w:t xml:space="preserve"> and</w:t>
      </w:r>
      <w:r w:rsidR="00C616A0" w:rsidRPr="00720140">
        <w:t xml:space="preserve"> </w:t>
      </w:r>
      <w:r w:rsidR="00301921" w:rsidRPr="00720140">
        <w:t xml:space="preserve">the </w:t>
      </w:r>
      <w:r w:rsidR="00EA4910" w:rsidRPr="00720140">
        <w:t xml:space="preserve">laudable </w:t>
      </w:r>
      <w:r w:rsidR="00301921" w:rsidRPr="00720140">
        <w:t>intentions</w:t>
      </w:r>
      <w:r w:rsidR="006F01E4" w:rsidRPr="00720140">
        <w:t>, the stated goal is</w:t>
      </w:r>
      <w:r w:rsidR="00E03ADB" w:rsidRPr="00720140">
        <w:t xml:space="preserve">, </w:t>
      </w:r>
      <w:r w:rsidR="00EA4910" w:rsidRPr="00720140">
        <w:rPr>
          <w:i/>
          <w:iCs/>
        </w:rPr>
        <w:t>strictu senso</w:t>
      </w:r>
      <w:r w:rsidR="00EA4910" w:rsidRPr="00720140">
        <w:t>,</w:t>
      </w:r>
      <w:r w:rsidR="006F01E4" w:rsidRPr="00720140">
        <w:t xml:space="preserve"> impossible</w:t>
      </w:r>
      <w:r w:rsidR="00301921" w:rsidRPr="00720140">
        <w:t>.</w:t>
      </w:r>
      <w:r w:rsidR="00EA4910" w:rsidRPr="00720140">
        <w:t xml:space="preserve"> </w:t>
      </w:r>
      <w:r w:rsidR="00B8549E" w:rsidRPr="00720140">
        <w:t xml:space="preserve">With phaneroscopy </w:t>
      </w:r>
      <w:r w:rsidR="00EA4910" w:rsidRPr="00720140">
        <w:t xml:space="preserve">and semiotics </w:t>
      </w:r>
      <w:r w:rsidR="00B8549E" w:rsidRPr="00720140">
        <w:t xml:space="preserve">as a </w:t>
      </w:r>
      <w:r w:rsidR="00EA4910" w:rsidRPr="00720140">
        <w:t xml:space="preserve">connected </w:t>
      </w:r>
      <w:r w:rsidR="00B8549E" w:rsidRPr="00720140">
        <w:t>philosophical basis,</w:t>
      </w:r>
      <w:r w:rsidR="00D72925" w:rsidRPr="00720140">
        <w:t xml:space="preserve"> </w:t>
      </w:r>
      <w:r w:rsidR="00624E1D" w:rsidRPr="00720140">
        <w:t xml:space="preserve">UDL can move beyond “places to start” in Disability Studies (Dolmage, 2017, p. 152) and find what I characterize as </w:t>
      </w:r>
      <w:r w:rsidR="00624E1D" w:rsidRPr="00720140">
        <w:rPr>
          <w:i/>
          <w:iCs/>
        </w:rPr>
        <w:t>places to continue</w:t>
      </w:r>
      <w:r w:rsidR="00624E1D" w:rsidRPr="00720140">
        <w:t>.</w:t>
      </w:r>
      <w:r w:rsidR="003A15F0" w:rsidRPr="00720140">
        <w:t xml:space="preserve"> </w:t>
      </w:r>
      <w:r w:rsidR="00444988" w:rsidRPr="00720140">
        <w:t xml:space="preserve">Imagining disability access </w:t>
      </w:r>
      <w:r w:rsidR="00EA4910" w:rsidRPr="00720140">
        <w:t>through</w:t>
      </w:r>
      <w:r w:rsidR="00ED46CD" w:rsidRPr="00720140">
        <w:t xml:space="preserve"> interactions and practices </w:t>
      </w:r>
      <w:r w:rsidR="00444988" w:rsidRPr="00720140">
        <w:t>available to phaneroscopic description</w:t>
      </w:r>
      <w:r w:rsidR="00ED46CD" w:rsidRPr="00720140">
        <w:t>, Disability Studies</w:t>
      </w:r>
      <w:r w:rsidR="003A15F0" w:rsidRPr="00720140">
        <w:t xml:space="preserve"> communit</w:t>
      </w:r>
      <w:r w:rsidR="00704625" w:rsidRPr="00720140">
        <w:t>ies</w:t>
      </w:r>
      <w:r w:rsidR="00444988" w:rsidRPr="00720140">
        <w:t xml:space="preserve"> in higher education can find new ways of being together,</w:t>
      </w:r>
      <w:r w:rsidR="003A15F0" w:rsidRPr="00720140">
        <w:t xml:space="preserve"> </w:t>
      </w:r>
      <w:r w:rsidR="00ED46CD" w:rsidRPr="00720140">
        <w:t>defined not by hierarchically assigned roles</w:t>
      </w:r>
      <w:r w:rsidR="00444988" w:rsidRPr="00720140">
        <w:t xml:space="preserve"> such as “researcher,” “teacher,” and “staff,” legible within a narrow conception of what universities are,</w:t>
      </w:r>
      <w:r w:rsidR="00ED46CD" w:rsidRPr="00720140">
        <w:t xml:space="preserve"> but rather </w:t>
      </w:r>
      <w:r w:rsidR="00444988" w:rsidRPr="00720140">
        <w:t xml:space="preserve">animated </w:t>
      </w:r>
      <w:r w:rsidR="003A15F0" w:rsidRPr="00720140">
        <w:t xml:space="preserve">by </w:t>
      </w:r>
      <w:r w:rsidR="00EA4910" w:rsidRPr="00720140">
        <w:t xml:space="preserve">a </w:t>
      </w:r>
      <w:r w:rsidR="003A15F0" w:rsidRPr="00720140">
        <w:t>“</w:t>
      </w:r>
      <w:r w:rsidR="00EA4910" w:rsidRPr="00720140">
        <w:t>will to learn</w:t>
      </w:r>
      <w:r w:rsidR="003A15F0" w:rsidRPr="00720140">
        <w:t xml:space="preserve">,” </w:t>
      </w:r>
      <w:r w:rsidR="00EA4910" w:rsidRPr="00720140">
        <w:t xml:space="preserve">which Peirce takes to signify </w:t>
      </w:r>
      <w:r w:rsidR="003A15F0" w:rsidRPr="00720140">
        <w:t>“a dissatisfaction with one’s present state of opinion” (CP 5.583).</w:t>
      </w:r>
    </w:p>
    <w:p w14:paraId="450B5316" w14:textId="18E0433A" w:rsidR="00704625" w:rsidRPr="00720140" w:rsidRDefault="00954FB6" w:rsidP="00D664BA">
      <w:pPr>
        <w:pStyle w:val="Heading1"/>
        <w:spacing w:after="0"/>
        <w:jc w:val="center"/>
      </w:pPr>
      <w:r w:rsidRPr="00720140">
        <w:t xml:space="preserve">Something to Say, Nothing to Tell: </w:t>
      </w:r>
      <w:r w:rsidR="00704625" w:rsidRPr="00720140">
        <w:t>Firstness, Secondness, and Thirdness</w:t>
      </w:r>
    </w:p>
    <w:p w14:paraId="329D8792" w14:textId="72FA7D9B" w:rsidR="001E3D5F" w:rsidRPr="00720140" w:rsidRDefault="00954FB6" w:rsidP="00F06307">
      <w:r w:rsidRPr="00720140">
        <w:t xml:space="preserve">Peirce’s </w:t>
      </w:r>
      <w:r w:rsidR="003240CD" w:rsidRPr="00720140">
        <w:t xml:space="preserve">philosophical writings are often held to be </w:t>
      </w:r>
      <w:r w:rsidR="005973A8" w:rsidRPr="00720140">
        <w:t>recondite</w:t>
      </w:r>
      <w:r w:rsidR="003240CD" w:rsidRPr="00720140">
        <w:t xml:space="preserve"> and </w:t>
      </w:r>
      <w:r w:rsidR="005973A8" w:rsidRPr="00720140">
        <w:t xml:space="preserve">are </w:t>
      </w:r>
      <w:r w:rsidR="003240CD" w:rsidRPr="00720140">
        <w:t>therefore held at a distance</w:t>
      </w:r>
      <w:r w:rsidR="001A2D0C" w:rsidRPr="00720140">
        <w:t>.</w:t>
      </w:r>
      <w:r w:rsidR="003240CD" w:rsidRPr="00720140">
        <w:t xml:space="preserve"> I take up aspects of his thinking here </w:t>
      </w:r>
      <w:r w:rsidR="00EA4910" w:rsidRPr="00720140">
        <w:t>as an extension of my belief</w:t>
      </w:r>
      <w:r w:rsidRPr="00720140">
        <w:t xml:space="preserve"> that</w:t>
      </w:r>
      <w:r w:rsidR="000D4DD3" w:rsidRPr="00720140">
        <w:t>, both conceptually and practically, UDL can gain in theoretical solidity from aligning its Guidelines with</w:t>
      </w:r>
      <w:r w:rsidR="0096506D" w:rsidRPr="00720140">
        <w:t xml:space="preserve"> </w:t>
      </w:r>
      <w:r w:rsidR="003240CD" w:rsidRPr="00720140">
        <w:t>Peirce’s</w:t>
      </w:r>
      <w:r w:rsidR="00993254" w:rsidRPr="00720140">
        <w:t xml:space="preserve"> universal categories of </w:t>
      </w:r>
      <w:r w:rsidR="00993254" w:rsidRPr="00720140">
        <w:rPr>
          <w:i/>
          <w:iCs/>
        </w:rPr>
        <w:t>Firstness</w:t>
      </w:r>
      <w:r w:rsidR="00993254" w:rsidRPr="00720140">
        <w:t xml:space="preserve">, </w:t>
      </w:r>
      <w:r w:rsidR="00993254" w:rsidRPr="00720140">
        <w:rPr>
          <w:i/>
          <w:iCs/>
        </w:rPr>
        <w:t>Secondness</w:t>
      </w:r>
      <w:r w:rsidR="00993254" w:rsidRPr="00720140">
        <w:t xml:space="preserve">, and </w:t>
      </w:r>
      <w:r w:rsidR="00267834" w:rsidRPr="00720140">
        <w:rPr>
          <w:i/>
          <w:iCs/>
        </w:rPr>
        <w:t>Thirdness</w:t>
      </w:r>
      <w:r w:rsidR="00267834" w:rsidRPr="00720140">
        <w:t>, which</w:t>
      </w:r>
      <w:r w:rsidR="00733F5F" w:rsidRPr="00720140">
        <w:t xml:space="preserve"> phaneroscopic description </w:t>
      </w:r>
      <w:r w:rsidR="00F34D53" w:rsidRPr="00720140">
        <w:t>distills from the manifold data of experience</w:t>
      </w:r>
      <w:r w:rsidR="000D4DD3" w:rsidRPr="00720140">
        <w:t xml:space="preserve"> (Atkins, 2016</w:t>
      </w:r>
      <w:r w:rsidR="00696317" w:rsidRPr="00720140">
        <w:t>; Spinelli, 2005</w:t>
      </w:r>
      <w:r w:rsidR="000D4DD3" w:rsidRPr="00720140">
        <w:t>).</w:t>
      </w:r>
    </w:p>
    <w:p w14:paraId="37850272" w14:textId="0A7257BA" w:rsidR="00C2111D" w:rsidRPr="00720140" w:rsidRDefault="001556E4" w:rsidP="001F1176">
      <w:r w:rsidRPr="00720140">
        <w:t xml:space="preserve">A core claim of </w:t>
      </w:r>
      <w:r w:rsidR="00707513" w:rsidRPr="00720140">
        <w:t>UDL</w:t>
      </w:r>
      <w:r w:rsidRPr="00720140">
        <w:t xml:space="preserve"> is that its</w:t>
      </w:r>
      <w:r w:rsidR="009C02AA" w:rsidRPr="00720140">
        <w:t xml:space="preserve"> </w:t>
      </w:r>
      <w:r w:rsidR="0019150D" w:rsidRPr="00720140">
        <w:t xml:space="preserve">emphasis on </w:t>
      </w:r>
      <w:r w:rsidR="001A2D0C" w:rsidRPr="00720140">
        <w:t xml:space="preserve">flexibility and </w:t>
      </w:r>
      <w:r w:rsidRPr="00720140">
        <w:t xml:space="preserve">on advance planning for diverse learning needs reduces the need for individual accommodations provided </w:t>
      </w:r>
      <w:r w:rsidRPr="00720140">
        <w:rPr>
          <w:i/>
          <w:iCs/>
        </w:rPr>
        <w:t xml:space="preserve">ad hoc </w:t>
      </w:r>
      <w:r w:rsidR="00F5590E" w:rsidRPr="00720140">
        <w:t xml:space="preserve">(CAST, </w:t>
      </w:r>
      <w:r w:rsidR="00F5590E" w:rsidRPr="00720140">
        <w:lastRenderedPageBreak/>
        <w:t>2018</w:t>
      </w:r>
      <w:r w:rsidR="00E84BE9" w:rsidRPr="00720140">
        <w:t>a</w:t>
      </w:r>
      <w:r w:rsidR="00F5590E" w:rsidRPr="00720140">
        <w:t>; Dolmage, 2017; Rose and Gravel, 2010)</w:t>
      </w:r>
      <w:r w:rsidR="002A1F71" w:rsidRPr="00720140">
        <w:t>.</w:t>
      </w:r>
      <w:r w:rsidR="001F436B" w:rsidRPr="00720140">
        <w:t xml:space="preserve"> </w:t>
      </w:r>
      <w:r w:rsidRPr="00720140">
        <w:t>Although their primary methods differ, the one emphasizing description, the other interpretation,</w:t>
      </w:r>
      <w:r w:rsidR="001F436B" w:rsidRPr="00720140">
        <w:t xml:space="preserve"> phaneroscopy and semiotic call our attention to learning as a process that takes place in and through </w:t>
      </w:r>
      <w:r w:rsidRPr="00720140">
        <w:t>experiential data (</w:t>
      </w:r>
      <w:r w:rsidR="005A2EE1" w:rsidRPr="00720140">
        <w:t>Spinelli, 2005</w:t>
      </w:r>
      <w:r w:rsidRPr="00720140">
        <w:t xml:space="preserve">): in any given moment, an element from experience might become a sign, by referring to an object (whether imagined, real, or rule-governed), thereby generating a further sign (the interpretant). As a new, cognitively elaborated sign, the interpretant </w:t>
      </w:r>
      <w:r w:rsidR="00EA4910" w:rsidRPr="00720140">
        <w:t>begins</w:t>
      </w:r>
      <w:r w:rsidRPr="00720140">
        <w:t xml:space="preserve"> what is theoretically an infinite sign-interpretive process</w:t>
      </w:r>
      <w:r w:rsidR="001F436B" w:rsidRPr="00720140">
        <w:t xml:space="preserve">. </w:t>
      </w:r>
      <w:r w:rsidR="00EA4910" w:rsidRPr="00720140">
        <w:t>P</w:t>
      </w:r>
      <w:r w:rsidR="004F3537" w:rsidRPr="00720140">
        <w:t xml:space="preserve">lacing phaneroscopic description at the base of the UDL </w:t>
      </w:r>
      <w:r w:rsidR="00E61D1F" w:rsidRPr="00720140">
        <w:t>G</w:t>
      </w:r>
      <w:r w:rsidR="007B019A" w:rsidRPr="00720140">
        <w:t>uidelines and</w:t>
      </w:r>
      <w:r w:rsidR="004F3537" w:rsidRPr="00720140">
        <w:t xml:space="preserve"> inviting </w:t>
      </w:r>
      <w:r w:rsidR="00EA4910" w:rsidRPr="00720140">
        <w:t>its recommended</w:t>
      </w:r>
      <w:r w:rsidR="004F3537" w:rsidRPr="00720140">
        <w:t xml:space="preserve"> practice</w:t>
      </w:r>
      <w:r w:rsidR="00EA4910" w:rsidRPr="00720140">
        <w:t>s</w:t>
      </w:r>
      <w:r w:rsidR="004F3537" w:rsidRPr="00720140">
        <w:t xml:space="preserve"> to be conceived as a theoretically open-ended and infinite dialogue with signs, UDL’s “universal” aspirations can avoid the pitfalls of a </w:t>
      </w:r>
      <w:r w:rsidR="00EA4910" w:rsidRPr="00720140">
        <w:t>cartulary</w:t>
      </w:r>
      <w:r w:rsidR="008F24AC" w:rsidRPr="00720140">
        <w:t xml:space="preserve"> </w:t>
      </w:r>
      <w:r w:rsidR="00EA4910" w:rsidRPr="00720140">
        <w:t>of</w:t>
      </w:r>
      <w:r w:rsidR="008F24AC" w:rsidRPr="00720140">
        <w:t xml:space="preserve"> choices</w:t>
      </w:r>
      <w:r w:rsidR="004F3537" w:rsidRPr="00720140">
        <w:t xml:space="preserve"> that </w:t>
      </w:r>
      <w:r w:rsidR="00E41E0D" w:rsidRPr="00720140">
        <w:t>document</w:t>
      </w:r>
      <w:r w:rsidR="008F24AC" w:rsidRPr="00720140">
        <w:t xml:space="preserve"> </w:t>
      </w:r>
      <w:r w:rsidR="00E41E0D" w:rsidRPr="00720140">
        <w:t xml:space="preserve">only </w:t>
      </w:r>
      <w:r w:rsidR="008F24AC" w:rsidRPr="00720140">
        <w:t xml:space="preserve">what is </w:t>
      </w:r>
      <w:r w:rsidR="00E41E0D" w:rsidRPr="00720140">
        <w:t xml:space="preserve">deemed </w:t>
      </w:r>
      <w:r w:rsidR="008F24AC" w:rsidRPr="00720140">
        <w:t xml:space="preserve">realistically achievable, </w:t>
      </w:r>
      <w:r w:rsidR="004F3537" w:rsidRPr="00720140">
        <w:t>derid</w:t>
      </w:r>
      <w:r w:rsidR="008F24AC" w:rsidRPr="00720140">
        <w:t>ing</w:t>
      </w:r>
      <w:r w:rsidR="004F3537" w:rsidRPr="00720140">
        <w:t xml:space="preserve"> as </w:t>
      </w:r>
      <w:r w:rsidR="004F3537" w:rsidRPr="00720140">
        <w:rPr>
          <w:i/>
          <w:iCs/>
        </w:rPr>
        <w:t>no more than fiction</w:t>
      </w:r>
      <w:r w:rsidR="008F24AC" w:rsidRPr="00720140">
        <w:rPr>
          <w:i/>
          <w:iCs/>
        </w:rPr>
        <w:t xml:space="preserve">, </w:t>
      </w:r>
      <w:r w:rsidR="008F24AC" w:rsidRPr="00720140">
        <w:t>a reaching towards the universal.</w:t>
      </w:r>
      <w:r w:rsidR="004F3537" w:rsidRPr="00720140">
        <w:rPr>
          <w:i/>
          <w:iCs/>
        </w:rPr>
        <w:t xml:space="preserve"> </w:t>
      </w:r>
      <w:r w:rsidR="004F3537" w:rsidRPr="00720140">
        <w:t xml:space="preserve">Recall that, for Peirce, phaneroscopy and semiotics take imaginative constructs of all kinds as </w:t>
      </w:r>
      <w:r w:rsidR="008F24AC" w:rsidRPr="00720140">
        <w:t>deserving of systematic</w:t>
      </w:r>
      <w:r w:rsidR="004F3537" w:rsidRPr="00720140">
        <w:t xml:space="preserve"> inquiry</w:t>
      </w:r>
      <w:r w:rsidR="00E41E0D" w:rsidRPr="00720140">
        <w:t xml:space="preserve"> (CP, 1.284)</w:t>
      </w:r>
      <w:r w:rsidR="004F3537" w:rsidRPr="00720140">
        <w:t xml:space="preserve">. For this reason, mere happenstance likewise finds a place not merely within, but arguably at the heart of Peirce’s pragmaticism, as Sarah Cashmore </w:t>
      </w:r>
      <w:r w:rsidR="008F24AC" w:rsidRPr="00720140">
        <w:t xml:space="preserve">(2018) rightly </w:t>
      </w:r>
      <w:r w:rsidR="004F3537" w:rsidRPr="00720140">
        <w:t>notes</w:t>
      </w:r>
      <w:r w:rsidR="008F24AC" w:rsidRPr="00720140">
        <w:t>.</w:t>
      </w:r>
      <w:r w:rsidR="001F436B" w:rsidRPr="00720140">
        <w:t xml:space="preserve"> </w:t>
      </w:r>
      <w:r w:rsidR="008F24AC" w:rsidRPr="00720140">
        <w:t xml:space="preserve">However, where Cashmore (2018) argues that </w:t>
      </w:r>
      <w:r w:rsidR="00A3769F" w:rsidRPr="00720140">
        <w:t>“</w:t>
      </w:r>
      <w:r w:rsidR="008F24AC" w:rsidRPr="00720140">
        <w:t>s</w:t>
      </w:r>
      <w:r w:rsidR="001F436B" w:rsidRPr="00720140">
        <w:t xml:space="preserve">uch an approach </w:t>
      </w:r>
      <w:r w:rsidR="00A3769F" w:rsidRPr="00720140">
        <w:t>deemphasizes universalized learning goals in favor of a stance of continual inquiry and experimentation, which comprises a pedagogy more accommodating to dynamicism” (p. 300)</w:t>
      </w:r>
      <w:r w:rsidR="008F24AC" w:rsidRPr="00720140">
        <w:t xml:space="preserve">, I incline </w:t>
      </w:r>
      <w:r w:rsidR="00E41E0D" w:rsidRPr="00720140">
        <w:t xml:space="preserve">rather more toward </w:t>
      </w:r>
      <w:r w:rsidR="008F24AC" w:rsidRPr="00720140">
        <w:t>a different position that considers “universalized learning goals</w:t>
      </w:r>
      <w:r w:rsidR="00E41E0D" w:rsidRPr="00720140">
        <w:t>,</w:t>
      </w:r>
      <w:r w:rsidR="008F24AC" w:rsidRPr="00720140">
        <w:t>” and the educational practices to which they give rise</w:t>
      </w:r>
      <w:r w:rsidR="00E41E0D" w:rsidRPr="00720140">
        <w:t>,</w:t>
      </w:r>
      <w:r w:rsidR="008F24AC" w:rsidRPr="00720140">
        <w:t xml:space="preserve"> as part of the skein of possibilities and impossibilities</w:t>
      </w:r>
      <w:r w:rsidR="007719AA" w:rsidRPr="00720140">
        <w:t xml:space="preserve"> that disability access</w:t>
      </w:r>
      <w:r w:rsidR="00E41E0D" w:rsidRPr="00720140">
        <w:t xml:space="preserve"> weaves</w:t>
      </w:r>
      <w:r w:rsidR="007719AA" w:rsidRPr="00720140">
        <w:t>.</w:t>
      </w:r>
      <w:r w:rsidR="007116B4" w:rsidRPr="00720140">
        <w:t xml:space="preserve"> </w:t>
      </w:r>
      <w:r w:rsidR="001E3D5F" w:rsidRPr="00720140">
        <w:t xml:space="preserve">Universal Design for Learning </w:t>
      </w:r>
      <w:r w:rsidR="0084415C" w:rsidRPr="00720140">
        <w:t xml:space="preserve">UDL </w:t>
      </w:r>
      <w:r w:rsidR="001E3D5F" w:rsidRPr="00720140">
        <w:t xml:space="preserve">attends to the needs of teachers and learners within educational settings. Questions proper to this latter domain </w:t>
      </w:r>
      <w:r w:rsidR="00707513" w:rsidRPr="00720140">
        <w:t xml:space="preserve">foreground </w:t>
      </w:r>
      <w:r w:rsidR="001E3D5F" w:rsidRPr="00720140">
        <w:t>the “what,” “how,” and “why” of learning</w:t>
      </w:r>
      <w:r w:rsidR="000539B8" w:rsidRPr="00720140">
        <w:t xml:space="preserve"> </w:t>
      </w:r>
      <w:r w:rsidR="001E3D5F" w:rsidRPr="00720140">
        <w:t>(CAST</w:t>
      </w:r>
      <w:r w:rsidR="00950C86" w:rsidRPr="00720140">
        <w:t>,</w:t>
      </w:r>
      <w:r w:rsidR="001E3D5F" w:rsidRPr="00720140">
        <w:t xml:space="preserve"> 20</w:t>
      </w:r>
      <w:r w:rsidR="00950C86" w:rsidRPr="00720140">
        <w:t>20b</w:t>
      </w:r>
      <w:r w:rsidR="001E3D5F" w:rsidRPr="00720140">
        <w:t xml:space="preserve">; Rose and </w:t>
      </w:r>
      <w:r w:rsidR="00CB11DA" w:rsidRPr="00720140">
        <w:t>Gravel 2010</w:t>
      </w:r>
      <w:r w:rsidR="001E3D5F" w:rsidRPr="00720140">
        <w:t xml:space="preserve">). </w:t>
      </w:r>
      <w:r w:rsidR="008B5A92" w:rsidRPr="00720140">
        <w:t>The UDL recommendations for how best to achieve inclusion and access</w:t>
      </w:r>
      <w:r w:rsidR="00C84BA5" w:rsidRPr="00720140">
        <w:t xml:space="preserve"> </w:t>
      </w:r>
      <w:r w:rsidR="008B5A92" w:rsidRPr="00720140">
        <w:t xml:space="preserve">in a learning environment are understood within recent Disability </w:t>
      </w:r>
      <w:r w:rsidR="008B5A92" w:rsidRPr="00720140">
        <w:lastRenderedPageBreak/>
        <w:t xml:space="preserve">Studies scholarship as a </w:t>
      </w:r>
      <w:r w:rsidR="00C2111D" w:rsidRPr="00720140">
        <w:t>“process and mode of becoming” (Dolmage, 2017, p. 115</w:t>
      </w:r>
      <w:r w:rsidR="008B5A92" w:rsidRPr="00720140">
        <w:t>; Brewer, Yergeau, and Selfe</w:t>
      </w:r>
      <w:r w:rsidR="00D60A2C" w:rsidRPr="00720140">
        <w:t>, 2014</w:t>
      </w:r>
      <w:r w:rsidR="00C2111D" w:rsidRPr="00720140">
        <w:t>)</w:t>
      </w:r>
      <w:r w:rsidR="00E4084E" w:rsidRPr="00720140">
        <w:t xml:space="preserve">. </w:t>
      </w:r>
    </w:p>
    <w:p w14:paraId="1D7C60AD" w14:textId="3D951060" w:rsidR="00AB75E0" w:rsidRPr="00720140" w:rsidRDefault="001960B5" w:rsidP="001E2366">
      <w:pPr>
        <w:autoSpaceDE w:val="0"/>
        <w:autoSpaceDN w:val="0"/>
        <w:adjustRightInd w:val="0"/>
        <w:rPr>
          <w:rFonts w:eastAsiaTheme="minorHAnsi" w:cs="TimesNewRomanMTStd"/>
        </w:rPr>
      </w:pPr>
      <w:r w:rsidRPr="00720140">
        <w:t>An</w:t>
      </w:r>
      <w:r w:rsidR="00804AF6" w:rsidRPr="00720140">
        <w:t xml:space="preserve"> article </w:t>
      </w:r>
      <w:r w:rsidRPr="00720140">
        <w:t xml:space="preserve">by Lindsay McKenzie </w:t>
      </w:r>
      <w:r w:rsidR="00FB30A0" w:rsidRPr="00720140">
        <w:t>(2019) en</w:t>
      </w:r>
      <w:r w:rsidRPr="00720140">
        <w:t>titled “</w:t>
      </w:r>
      <w:r w:rsidR="002E000C" w:rsidRPr="00720140">
        <w:t>Professors, colleges, and companies struggle to make digital learning accessible</w:t>
      </w:r>
      <w:r w:rsidRPr="00720140">
        <w:t xml:space="preserve">” </w:t>
      </w:r>
      <w:r w:rsidR="00804AF6" w:rsidRPr="00720140">
        <w:t xml:space="preserve">discusses the </w:t>
      </w:r>
      <w:r w:rsidR="00110A43" w:rsidRPr="00720140">
        <w:t>problem</w:t>
      </w:r>
      <w:r w:rsidR="001E3D5F" w:rsidRPr="00720140">
        <w:t>s</w:t>
      </w:r>
      <w:r w:rsidR="00110A43" w:rsidRPr="00720140">
        <w:t xml:space="preserve"> </w:t>
      </w:r>
      <w:r w:rsidR="007719AA" w:rsidRPr="00720140">
        <w:t>inherent in</w:t>
      </w:r>
      <w:r w:rsidR="00110A43" w:rsidRPr="00720140">
        <w:t xml:space="preserve"> </w:t>
      </w:r>
      <w:r w:rsidR="00E41E0D" w:rsidRPr="00720140">
        <w:t xml:space="preserve">a </w:t>
      </w:r>
      <w:r w:rsidR="007719AA" w:rsidRPr="00720140">
        <w:t xml:space="preserve">hasty embrace of </w:t>
      </w:r>
      <w:r w:rsidR="0075443C" w:rsidRPr="00720140">
        <w:t xml:space="preserve">digital </w:t>
      </w:r>
      <w:r w:rsidR="00110A43" w:rsidRPr="00720140">
        <w:t xml:space="preserve">modalities </w:t>
      </w:r>
      <w:r w:rsidR="007B019A" w:rsidRPr="00720140">
        <w:t>as a</w:t>
      </w:r>
      <w:r w:rsidR="00E41E0D" w:rsidRPr="00720140">
        <w:t xml:space="preserve"> lasting </w:t>
      </w:r>
      <w:r w:rsidR="007719AA" w:rsidRPr="00720140">
        <w:t>solution to the problem</w:t>
      </w:r>
      <w:r w:rsidR="00110A43" w:rsidRPr="00720140">
        <w:t xml:space="preserve"> </w:t>
      </w:r>
      <w:r w:rsidR="00E41E0D" w:rsidRPr="00720140">
        <w:t xml:space="preserve">of </w:t>
      </w:r>
      <w:r w:rsidR="00110A43" w:rsidRPr="00720140">
        <w:t xml:space="preserve">disabling educational practices. </w:t>
      </w:r>
      <w:r w:rsidR="001E2366" w:rsidRPr="00720140">
        <w:t>At the core of its argument is that t</w:t>
      </w:r>
      <w:r w:rsidR="00110A43" w:rsidRPr="00720140">
        <w:t>he mere presence of advanced technology, and of multiple textual formats</w:t>
      </w:r>
      <w:r w:rsidR="00710718" w:rsidRPr="00720140">
        <w:t>,</w:t>
      </w:r>
      <w:r w:rsidR="00110A43" w:rsidRPr="00720140">
        <w:t xml:space="preserve"> does not guarantee universal accessibility</w:t>
      </w:r>
      <w:r w:rsidR="00E41E0D" w:rsidRPr="00720140">
        <w:t xml:space="preserve"> </w:t>
      </w:r>
      <w:r w:rsidR="001E3D5F" w:rsidRPr="00720140">
        <w:t>(Dolmage, 2017)</w:t>
      </w:r>
      <w:r w:rsidR="002F5821" w:rsidRPr="00720140">
        <w:t>.</w:t>
      </w:r>
      <w:r w:rsidR="00707513" w:rsidRPr="00720140">
        <w:t>UDL approaches</w:t>
      </w:r>
      <w:r w:rsidR="0075443C" w:rsidRPr="00720140">
        <w:t xml:space="preserve"> technological </w:t>
      </w:r>
      <w:r w:rsidR="00113652" w:rsidRPr="00720140">
        <w:t xml:space="preserve">mediations of educational practices with a degree of circumspection, </w:t>
      </w:r>
      <w:r w:rsidR="00E41E0D" w:rsidRPr="00720140">
        <w:t>always emphasizing</w:t>
      </w:r>
      <w:r w:rsidR="00113652" w:rsidRPr="00720140">
        <w:t xml:space="preserve"> </w:t>
      </w:r>
      <w:r w:rsidR="00E41E0D" w:rsidRPr="00720140">
        <w:t>alignment with</w:t>
      </w:r>
      <w:r w:rsidR="00113652" w:rsidRPr="00720140">
        <w:t xml:space="preserve"> UDL’s three core principles. As such, these mediated forms should embrace </w:t>
      </w:r>
      <w:r w:rsidR="0075443C" w:rsidRPr="00720140">
        <w:rPr>
          <w:shd w:val="clear" w:color="auto" w:fill="FFFFFF"/>
        </w:rPr>
        <w:t xml:space="preserve">“goals, assessments, methods, and materials support student learning through </w:t>
      </w:r>
      <w:r w:rsidR="0075443C" w:rsidRPr="00720140">
        <w:rPr>
          <w:i/>
          <w:shd w:val="clear" w:color="auto" w:fill="FFFFFF"/>
        </w:rPr>
        <w:t>multiple means of representation, expression/action, and engagement</w:t>
      </w:r>
      <w:r w:rsidR="0075443C" w:rsidRPr="00720140">
        <w:t>” (</w:t>
      </w:r>
      <w:r w:rsidR="00514C19" w:rsidRPr="00720140">
        <w:t>Hall et al</w:t>
      </w:r>
      <w:r w:rsidR="00432431" w:rsidRPr="00720140">
        <w:t>.,</w:t>
      </w:r>
      <w:r w:rsidR="00514C19" w:rsidRPr="00720140">
        <w:t xml:space="preserve"> 2012, p. xiii; </w:t>
      </w:r>
      <w:r w:rsidR="00432431" w:rsidRPr="00720140">
        <w:t>e</w:t>
      </w:r>
      <w:r w:rsidR="00113652" w:rsidRPr="00720140">
        <w:t xml:space="preserve">mphasis </w:t>
      </w:r>
      <w:r w:rsidR="00432431" w:rsidRPr="00720140">
        <w:t>supplied</w:t>
      </w:r>
      <w:r w:rsidR="0075443C" w:rsidRPr="00720140">
        <w:t>).</w:t>
      </w:r>
      <w:r w:rsidR="00AB75E0" w:rsidRPr="00720140">
        <w:t xml:space="preserve"> </w:t>
      </w:r>
      <w:r w:rsidR="00113652" w:rsidRPr="00720140">
        <w:t>For UDL practitioners, these principles constitute “three critical features of any teaching and learning environment</w:t>
      </w:r>
      <w:r w:rsidR="007719AA" w:rsidRPr="00720140">
        <w:t>”</w:t>
      </w:r>
      <w:r w:rsidR="00113652" w:rsidRPr="00720140">
        <w:t xml:space="preserve"> (Rose and Gravel, 2010, p. 120). </w:t>
      </w:r>
      <w:r w:rsidR="00AB75E0" w:rsidRPr="00720140">
        <w:t>The status quo</w:t>
      </w:r>
      <w:r w:rsidR="00E41E0D" w:rsidRPr="00720140">
        <w:t xml:space="preserve"> of higher education</w:t>
      </w:r>
      <w:r w:rsidR="00AB75E0" w:rsidRPr="00720140">
        <w:t xml:space="preserve">, however, bears out the pessimistic view that </w:t>
      </w:r>
      <w:r w:rsidR="00AB75E0" w:rsidRPr="00720140">
        <w:rPr>
          <w:rFonts w:eastAsiaTheme="minorHAnsi" w:cs="TimesNewRomanMTStd"/>
        </w:rPr>
        <w:t>“it is much easier to discuss disability as just another topic, than to interweave disability issues, technologies and design into the objectives and assignments throughout a course” (Miner, 2017, p. 165)</w:t>
      </w:r>
      <w:r w:rsidR="001E2366" w:rsidRPr="00720140">
        <w:rPr>
          <w:rFonts w:eastAsiaTheme="minorHAnsi" w:cs="TimesNewRomanMTStd"/>
        </w:rPr>
        <w:t>.</w:t>
      </w:r>
    </w:p>
    <w:p w14:paraId="11365CBF" w14:textId="15310F83" w:rsidR="00113652" w:rsidRPr="00720140" w:rsidRDefault="00244DB2" w:rsidP="00244DB2">
      <w:r w:rsidRPr="00720140">
        <w:t>The Center for Applied Special Technology (CAST</w:t>
      </w:r>
      <w:r w:rsidR="00770DA6" w:rsidRPr="00720140">
        <w:t>, 2020</w:t>
      </w:r>
      <w:r w:rsidR="00950C86" w:rsidRPr="00720140">
        <w:t>a</w:t>
      </w:r>
      <w:r w:rsidRPr="00720140">
        <w:t>) website</w:t>
      </w:r>
      <w:r w:rsidR="001864BD" w:rsidRPr="00720140">
        <w:t xml:space="preserve"> </w:t>
      </w:r>
      <w:r w:rsidR="003829BE" w:rsidRPr="00720140">
        <w:t xml:space="preserve">acknowledges </w:t>
      </w:r>
      <w:r w:rsidR="001864BD" w:rsidRPr="00720140">
        <w:t xml:space="preserve">that </w:t>
      </w:r>
      <w:r w:rsidR="007719AA" w:rsidRPr="00720140">
        <w:t xml:space="preserve">its UDL </w:t>
      </w:r>
      <w:r w:rsidR="00E41E0D" w:rsidRPr="00720140">
        <w:t>G</w:t>
      </w:r>
      <w:r w:rsidR="001864BD" w:rsidRPr="00720140">
        <w:t xml:space="preserve">uidelines may already be part of the teaching and learning practices in many </w:t>
      </w:r>
      <w:r w:rsidR="007719AA" w:rsidRPr="00720140">
        <w:t>classrooms but</w:t>
      </w:r>
      <w:r w:rsidR="001864BD" w:rsidRPr="00720140">
        <w:t xml:space="preserve"> caution</w:t>
      </w:r>
      <w:r w:rsidR="003829BE" w:rsidRPr="00720140">
        <w:t>s</w:t>
      </w:r>
      <w:r w:rsidR="001864BD" w:rsidRPr="00720140">
        <w:t xml:space="preserve"> that “</w:t>
      </w:r>
      <w:r w:rsidR="00C75A38" w:rsidRPr="00720140">
        <w:t>barriers to the learning goal may still be present</w:t>
      </w:r>
      <w:r w:rsidR="001864BD" w:rsidRPr="00720140">
        <w:t xml:space="preserve">.” Incorporating elements of the </w:t>
      </w:r>
      <w:r w:rsidR="002E48BE" w:rsidRPr="00720140">
        <w:t>UDL Guidelines</w:t>
      </w:r>
      <w:r w:rsidR="001864BD" w:rsidRPr="00720140">
        <w:t xml:space="preserve">, </w:t>
      </w:r>
      <w:r w:rsidR="001020E7" w:rsidRPr="00720140">
        <w:t>so the claim goes</w:t>
      </w:r>
      <w:r w:rsidR="002E48BE" w:rsidRPr="00720140">
        <w:t>,</w:t>
      </w:r>
      <w:r w:rsidR="001864BD" w:rsidRPr="00720140">
        <w:t xml:space="preserve"> can “</w:t>
      </w:r>
      <w:r w:rsidR="00C75A38" w:rsidRPr="00720140">
        <w:t>support the development of a shared language in the design of goals, assessments, methods, and materials that lead to accessible, meaningful, and challenging learning experiences for all”</w:t>
      </w:r>
      <w:r w:rsidR="0089550A" w:rsidRPr="00720140">
        <w:t xml:space="preserve"> (</w:t>
      </w:r>
      <w:r w:rsidR="00CC5365" w:rsidRPr="00720140">
        <w:t>CAST, 2018</w:t>
      </w:r>
      <w:r w:rsidR="00770DA6" w:rsidRPr="00720140">
        <w:t>b</w:t>
      </w:r>
      <w:r w:rsidR="00CC5365" w:rsidRPr="00720140">
        <w:t xml:space="preserve">, </w:t>
      </w:r>
      <w:r w:rsidR="00EB4AC7" w:rsidRPr="00720140">
        <w:t>“</w:t>
      </w:r>
      <w:r w:rsidR="00CC5365" w:rsidRPr="00720140">
        <w:t>About</w:t>
      </w:r>
      <w:r w:rsidR="00EB4AC7" w:rsidRPr="00720140">
        <w:t>”</w:t>
      </w:r>
      <w:r w:rsidR="00CC5365" w:rsidRPr="00720140">
        <w:t xml:space="preserve"> the graphic organizer).</w:t>
      </w:r>
    </w:p>
    <w:p w14:paraId="048701AC" w14:textId="4A5E0105" w:rsidR="007F2981" w:rsidRPr="00720140" w:rsidRDefault="00244DB2" w:rsidP="0066609C">
      <w:r w:rsidRPr="00720140">
        <w:lastRenderedPageBreak/>
        <w:t>All of t</w:t>
      </w:r>
      <w:r w:rsidR="007F2981" w:rsidRPr="00720140">
        <w:t>hese are ambitious claims, to be sure</w:t>
      </w:r>
      <w:r w:rsidR="00654514" w:rsidRPr="00720140">
        <w:t>, ones that are by no means guaranteed</w:t>
      </w:r>
      <w:r w:rsidR="006E78D7" w:rsidRPr="00720140">
        <w:t xml:space="preserve"> </w:t>
      </w:r>
      <w:r w:rsidR="003829BE" w:rsidRPr="00720140">
        <w:t>to survive the translation</w:t>
      </w:r>
      <w:r w:rsidR="001020E7" w:rsidRPr="00720140">
        <w:t xml:space="preserve"> from ideal to reality</w:t>
      </w:r>
      <w:r w:rsidR="00416706" w:rsidRPr="00720140">
        <w:t xml:space="preserve">. In keeping with pragmaticism’s emphasis on meaning as that which </w:t>
      </w:r>
      <w:r w:rsidR="00416706" w:rsidRPr="00720140">
        <w:rPr>
          <w:i/>
          <w:iCs/>
        </w:rPr>
        <w:t>would</w:t>
      </w:r>
      <w:r w:rsidR="00416706" w:rsidRPr="00720140">
        <w:t xml:space="preserve"> be true, and consequently, </w:t>
      </w:r>
      <w:r w:rsidR="00416706" w:rsidRPr="00720140">
        <w:rPr>
          <w:i/>
          <w:iCs/>
        </w:rPr>
        <w:t xml:space="preserve">would </w:t>
      </w:r>
      <w:r w:rsidR="00416706" w:rsidRPr="00720140">
        <w:t xml:space="preserve">guide our interactions given certain necessary conditions, the pillars of </w:t>
      </w:r>
      <w:r w:rsidR="006B5B1C" w:rsidRPr="00720140">
        <w:t>UDL</w:t>
      </w:r>
      <w:r w:rsidR="00416706" w:rsidRPr="00720140">
        <w:t xml:space="preserve"> </w:t>
      </w:r>
      <w:r w:rsidR="001020E7" w:rsidRPr="00720140">
        <w:t>require</w:t>
      </w:r>
      <w:r w:rsidR="00416706" w:rsidRPr="00720140">
        <w:t xml:space="preserve"> certain necessary conditions</w:t>
      </w:r>
      <w:r w:rsidR="001020E7" w:rsidRPr="00720140">
        <w:rPr>
          <w:i/>
          <w:iCs/>
        </w:rPr>
        <w:t xml:space="preserve"> in order to</w:t>
      </w:r>
      <w:r w:rsidR="00416706" w:rsidRPr="00720140">
        <w:rPr>
          <w:i/>
          <w:iCs/>
        </w:rPr>
        <w:t xml:space="preserve"> </w:t>
      </w:r>
      <w:r w:rsidR="00416706" w:rsidRPr="00720140">
        <w:t xml:space="preserve">reduce barriers to learning. This is no mere semantic quibble over the difference between what </w:t>
      </w:r>
      <w:r w:rsidR="00416706" w:rsidRPr="00720140">
        <w:rPr>
          <w:i/>
          <w:iCs/>
        </w:rPr>
        <w:t>is</w:t>
      </w:r>
      <w:r w:rsidR="00416706" w:rsidRPr="00720140">
        <w:t xml:space="preserve"> true and what </w:t>
      </w:r>
      <w:r w:rsidR="00416706" w:rsidRPr="00720140">
        <w:rPr>
          <w:i/>
          <w:iCs/>
        </w:rPr>
        <w:t>would be</w:t>
      </w:r>
      <w:r w:rsidR="00416706" w:rsidRPr="00720140">
        <w:t xml:space="preserve"> true, but rather a </w:t>
      </w:r>
      <w:r w:rsidR="00B57D86" w:rsidRPr="00720140">
        <w:t xml:space="preserve">call to </w:t>
      </w:r>
      <w:r w:rsidR="00982E17" w:rsidRPr="00720140">
        <w:t>embrace</w:t>
      </w:r>
      <w:r w:rsidR="00416706" w:rsidRPr="00720140">
        <w:t xml:space="preserve"> what, in Peircean </w:t>
      </w:r>
      <w:r w:rsidR="00F50680" w:rsidRPr="00720140">
        <w:t>tones</w:t>
      </w:r>
      <w:r w:rsidR="00416706" w:rsidRPr="00720140">
        <w:t xml:space="preserve"> I might characterize as “contrite fallibilism</w:t>
      </w:r>
      <w:r w:rsidR="00B57D86" w:rsidRPr="00720140">
        <w:t>.</w:t>
      </w:r>
      <w:r w:rsidR="00416706" w:rsidRPr="00720140">
        <w:t xml:space="preserve">” </w:t>
      </w:r>
      <w:r w:rsidR="00F50680" w:rsidRPr="00720140">
        <w:t>In fallibilism’s language, n</w:t>
      </w:r>
      <w:r w:rsidR="00416706" w:rsidRPr="00720140">
        <w:t xml:space="preserve">one of our beliefs </w:t>
      </w:r>
      <w:r w:rsidR="001020E7" w:rsidRPr="00720140">
        <w:t>about</w:t>
      </w:r>
      <w:r w:rsidR="00416706" w:rsidRPr="00720140">
        <w:t xml:space="preserve"> </w:t>
      </w:r>
      <w:r w:rsidR="00B57D86" w:rsidRPr="00720140">
        <w:t>UDL</w:t>
      </w:r>
      <w:r w:rsidR="001020E7" w:rsidRPr="00720140">
        <w:t xml:space="preserve">, </w:t>
      </w:r>
      <w:r w:rsidR="00F50680" w:rsidRPr="00720140">
        <w:t xml:space="preserve">about </w:t>
      </w:r>
      <w:r w:rsidR="001020E7" w:rsidRPr="00720140">
        <w:t>the solidity of its principles</w:t>
      </w:r>
      <w:r w:rsidR="00F50680" w:rsidRPr="00720140">
        <w:t>, and about the benefits of its application</w:t>
      </w:r>
      <w:r w:rsidR="00416706" w:rsidRPr="00720140">
        <w:t xml:space="preserve"> can be regarded as unshakeable</w:t>
      </w:r>
      <w:r w:rsidR="00F50680" w:rsidRPr="00720140">
        <w:t xml:space="preserve"> and beyond question</w:t>
      </w:r>
      <w:r w:rsidR="00416706" w:rsidRPr="00720140">
        <w:t>.</w:t>
      </w:r>
      <w:r w:rsidRPr="00720140">
        <w:rPr>
          <w:rStyle w:val="FootnoteReference"/>
        </w:rPr>
        <w:footnoteReference w:id="6"/>
      </w:r>
    </w:p>
    <w:p w14:paraId="6F3BC666" w14:textId="282CE77E" w:rsidR="00D01553" w:rsidRPr="00720140" w:rsidRDefault="003C2A3E" w:rsidP="00D01553">
      <w:r w:rsidRPr="00720140">
        <w:t xml:space="preserve">If </w:t>
      </w:r>
      <w:r w:rsidR="00E41E0D" w:rsidRPr="00720140">
        <w:t>p</w:t>
      </w:r>
      <w:r w:rsidR="00B57D86" w:rsidRPr="00720140">
        <w:t>haneroscopy</w:t>
      </w:r>
      <w:r w:rsidR="00347886" w:rsidRPr="00720140">
        <w:t xml:space="preserve"> contemplates raw experiential data</w:t>
      </w:r>
      <w:r w:rsidR="00E17C88" w:rsidRPr="00720140">
        <w:t>,</w:t>
      </w:r>
      <w:r w:rsidR="00347886" w:rsidRPr="00720140">
        <w:t xml:space="preserve"> </w:t>
      </w:r>
      <w:r w:rsidRPr="00720140">
        <w:t>it is, for Peirce,</w:t>
      </w:r>
      <w:r w:rsidR="00F50680" w:rsidRPr="00720140">
        <w:t xml:space="preserve"> the constant flow</w:t>
      </w:r>
      <w:r w:rsidR="001E2366" w:rsidRPr="00720140">
        <w:t>, and more importantly, the development and refinement</w:t>
      </w:r>
      <w:r w:rsidR="00F50680" w:rsidRPr="00720140">
        <w:t xml:space="preserve"> of</w:t>
      </w:r>
      <w:r w:rsidR="00347886" w:rsidRPr="00720140">
        <w:t xml:space="preserve"> signs </w:t>
      </w:r>
      <w:r w:rsidR="00F50680" w:rsidRPr="00720140">
        <w:t xml:space="preserve">that render </w:t>
      </w:r>
      <w:r w:rsidRPr="00720140">
        <w:t xml:space="preserve">such </w:t>
      </w:r>
      <w:r w:rsidR="00F50680" w:rsidRPr="00720140">
        <w:t>experience interpretable</w:t>
      </w:r>
      <w:r w:rsidR="00347886" w:rsidRPr="00720140">
        <w:t>. Semiotics, which Peirce equates with logic</w:t>
      </w:r>
      <w:r w:rsidR="00982E17" w:rsidRPr="00720140">
        <w:t xml:space="preserve"> </w:t>
      </w:r>
      <w:r w:rsidR="00347886" w:rsidRPr="00720140">
        <w:t xml:space="preserve">encompasses all the ways in which the raw experiential data disclosed by phaneroscopy </w:t>
      </w:r>
      <w:r w:rsidR="00F50680" w:rsidRPr="00720140">
        <w:t>become available</w:t>
      </w:r>
      <w:r w:rsidR="00347886" w:rsidRPr="00720140">
        <w:t xml:space="preserve"> to intersubjective understanding.</w:t>
      </w:r>
      <w:r w:rsidR="00F50680" w:rsidRPr="00720140">
        <w:t xml:space="preserve"> </w:t>
      </w:r>
      <w:r w:rsidR="001E3D5F" w:rsidRPr="00720140">
        <w:t>P</w:t>
      </w:r>
      <w:r w:rsidR="00D01553" w:rsidRPr="00720140">
        <w:t>haneroscopy</w:t>
      </w:r>
      <w:r w:rsidR="001E3D5F" w:rsidRPr="00720140">
        <w:t xml:space="preserve"> and semiotic</w:t>
      </w:r>
      <w:r w:rsidR="00D01553" w:rsidRPr="00720140">
        <w:t xml:space="preserve"> </w:t>
      </w:r>
      <w:r w:rsidR="00F50680" w:rsidRPr="00720140">
        <w:t xml:space="preserve">thus </w:t>
      </w:r>
      <w:r w:rsidR="00B57D86" w:rsidRPr="00720140">
        <w:t xml:space="preserve">work out </w:t>
      </w:r>
      <w:r w:rsidR="00D01553" w:rsidRPr="00720140">
        <w:t>the relationship between meaning</w:t>
      </w:r>
      <w:r w:rsidR="00654514" w:rsidRPr="00720140">
        <w:t>,</w:t>
      </w:r>
      <w:r w:rsidR="00D01553" w:rsidRPr="00720140">
        <w:t xml:space="preserve"> and </w:t>
      </w:r>
      <w:r w:rsidR="00654514" w:rsidRPr="00720140">
        <w:t xml:space="preserve">how each of us are </w:t>
      </w:r>
      <w:r w:rsidR="00D01553" w:rsidRPr="00720140">
        <w:t>prepared to act in and through the world</w:t>
      </w:r>
      <w:r w:rsidR="00654514" w:rsidRPr="00720140">
        <w:t>, recognizing our individual and shared</w:t>
      </w:r>
      <w:r w:rsidR="00982E17" w:rsidRPr="00720140">
        <w:t xml:space="preserve"> </w:t>
      </w:r>
      <w:r w:rsidR="00D01553" w:rsidRPr="00720140">
        <w:t xml:space="preserve">dispositions </w:t>
      </w:r>
      <w:r w:rsidR="00982E17" w:rsidRPr="00720140">
        <w:t>fashioned through</w:t>
      </w:r>
      <w:r w:rsidR="00D01553" w:rsidRPr="00720140">
        <w:t xml:space="preserve"> our lived experience.</w:t>
      </w:r>
    </w:p>
    <w:p w14:paraId="42335867" w14:textId="32DA0C45" w:rsidR="00654514" w:rsidRPr="00720140" w:rsidRDefault="00982E17" w:rsidP="000F40E8">
      <w:r w:rsidRPr="00720140">
        <w:t>P</w:t>
      </w:r>
      <w:r w:rsidR="005B235F" w:rsidRPr="00720140">
        <w:t xml:space="preserve">haneroscopy does not concern itself with </w:t>
      </w:r>
      <w:r w:rsidR="005B235F" w:rsidRPr="00720140">
        <w:rPr>
          <w:i/>
          <w:iCs/>
        </w:rPr>
        <w:t>all</w:t>
      </w:r>
      <w:r w:rsidR="005B235F" w:rsidRPr="00720140">
        <w:t xml:space="preserve"> possible experience. Instead, the phaneron is limited</w:t>
      </w:r>
      <w:r w:rsidR="00347886" w:rsidRPr="00720140">
        <w:t xml:space="preserve"> to</w:t>
      </w:r>
      <w:r w:rsidR="005B235F" w:rsidRPr="00720140">
        <w:t xml:space="preserve"> “those that are logically indecomposable, or indecomposable to direct inspection”</w:t>
      </w:r>
      <w:r w:rsidR="00347886" w:rsidRPr="00720140">
        <w:t xml:space="preserve"> </w:t>
      </w:r>
      <w:r w:rsidR="007A6A74" w:rsidRPr="00720140">
        <w:t>(CP 1.288)</w:t>
      </w:r>
      <w:r w:rsidR="00654514" w:rsidRPr="00720140">
        <w:t>.</w:t>
      </w:r>
      <w:r w:rsidRPr="00720140">
        <w:t xml:space="preserve"> UDL’s possible and impossible threads</w:t>
      </w:r>
      <w:r w:rsidR="006A7CBE" w:rsidRPr="00720140">
        <w:t xml:space="preserve"> ha</w:t>
      </w:r>
      <w:r w:rsidRPr="00720140">
        <w:t>ve</w:t>
      </w:r>
      <w:r w:rsidR="006A7CBE" w:rsidRPr="00720140">
        <w:t xml:space="preserve"> much to work with here, </w:t>
      </w:r>
      <w:r w:rsidR="00421140" w:rsidRPr="00720140">
        <w:t>in thinking about what it means</w:t>
      </w:r>
      <w:r w:rsidR="00A31761" w:rsidRPr="00720140">
        <w:t xml:space="preserve"> </w:t>
      </w:r>
      <w:r w:rsidR="00421140" w:rsidRPr="00720140">
        <w:t xml:space="preserve">to find </w:t>
      </w:r>
      <w:r w:rsidR="00654514" w:rsidRPr="00720140">
        <w:t>its</w:t>
      </w:r>
      <w:r w:rsidR="00421140" w:rsidRPr="00720140">
        <w:t xml:space="preserve"> “places to start thinking, doing, acting, and moving</w:t>
      </w:r>
      <w:r w:rsidR="00F50680" w:rsidRPr="00720140">
        <w:t>”</w:t>
      </w:r>
      <w:r w:rsidR="00ED0CF3" w:rsidRPr="00720140">
        <w:t xml:space="preserve"> (Dolmage, 2017</w:t>
      </w:r>
      <w:r w:rsidR="00421140" w:rsidRPr="00720140">
        <w:t xml:space="preserve">, </w:t>
      </w:r>
      <w:r w:rsidR="009909AE" w:rsidRPr="00720140">
        <w:t>p. 145</w:t>
      </w:r>
      <w:r w:rsidR="00ED0CF3" w:rsidRPr="00720140">
        <w:t>).</w:t>
      </w:r>
    </w:p>
    <w:p w14:paraId="2AFE48AF" w14:textId="38E19C3B" w:rsidR="004471E7" w:rsidRPr="00720140" w:rsidRDefault="004471E7" w:rsidP="000F40E8">
      <w:r w:rsidRPr="00720140">
        <w:lastRenderedPageBreak/>
        <w:t xml:space="preserve">Among the most consequential lines of thought spun </w:t>
      </w:r>
      <w:r w:rsidR="005010BE" w:rsidRPr="00720140">
        <w:t>out</w:t>
      </w:r>
      <w:r w:rsidRPr="00720140">
        <w:t xml:space="preserve"> in Disability Studies scholarship is its resolute challenge to </w:t>
      </w:r>
      <w:r w:rsidR="00F50680" w:rsidRPr="00720140">
        <w:t>a</w:t>
      </w:r>
      <w:r w:rsidR="00982E17" w:rsidRPr="00720140">
        <w:t>n</w:t>
      </w:r>
      <w:r w:rsidR="00F50680" w:rsidRPr="00720140">
        <w:t xml:space="preserve"> unvoiced</w:t>
      </w:r>
      <w:r w:rsidR="00E17C88" w:rsidRPr="00720140">
        <w:t>,</w:t>
      </w:r>
      <w:r w:rsidRPr="00720140">
        <w:t xml:space="preserve"> distinction between ability and disability</w:t>
      </w:r>
      <w:r w:rsidR="00421140" w:rsidRPr="00720140">
        <w:t xml:space="preserve"> that </w:t>
      </w:r>
      <w:r w:rsidR="00F50680" w:rsidRPr="00720140">
        <w:t>expresses itself bureaucratically in</w:t>
      </w:r>
      <w:r w:rsidR="00421140" w:rsidRPr="00720140">
        <w:t xml:space="preserve"> the </w:t>
      </w:r>
      <w:r w:rsidR="00F50680" w:rsidRPr="00720140">
        <w:t xml:space="preserve">array of </w:t>
      </w:r>
      <w:r w:rsidR="00421140" w:rsidRPr="00720140">
        <w:t>individual accommodations and curricular retrofits</w:t>
      </w:r>
      <w:r w:rsidR="00EC343B" w:rsidRPr="00720140">
        <w:t xml:space="preserve"> </w:t>
      </w:r>
      <w:r w:rsidR="00F50680" w:rsidRPr="00720140">
        <w:t>that</w:t>
      </w:r>
      <w:r w:rsidR="00DA2F5C" w:rsidRPr="00720140">
        <w:t xml:space="preserve"> continue to dominate</w:t>
      </w:r>
      <w:r w:rsidR="00EC343B" w:rsidRPr="00720140">
        <w:t xml:space="preserve"> higher education</w:t>
      </w:r>
      <w:r w:rsidR="00F50680" w:rsidRPr="00720140">
        <w:t xml:space="preserve"> </w:t>
      </w:r>
      <w:r w:rsidR="00EC343B" w:rsidRPr="00720140">
        <w:t>(Dolmage, 2017</w:t>
      </w:r>
      <w:r w:rsidR="00982E17" w:rsidRPr="00720140">
        <w:t xml:space="preserve">; </w:t>
      </w:r>
      <w:r w:rsidR="002E7557" w:rsidRPr="00720140">
        <w:t>Ahmed,2015</w:t>
      </w:r>
      <w:r w:rsidR="00EC343B" w:rsidRPr="00720140">
        <w:t>)</w:t>
      </w:r>
      <w:r w:rsidRPr="00720140">
        <w:t xml:space="preserve">. From the </w:t>
      </w:r>
      <w:r w:rsidR="00842646" w:rsidRPr="00720140">
        <w:t xml:space="preserve">initial </w:t>
      </w:r>
      <w:r w:rsidRPr="00720140">
        <w:t xml:space="preserve">separation of ability from disability, a host of subsidiary </w:t>
      </w:r>
      <w:r w:rsidR="00842646" w:rsidRPr="00720140">
        <w:t xml:space="preserve">ableist dualisms </w:t>
      </w:r>
      <w:r w:rsidRPr="00720140">
        <w:t xml:space="preserve">come into being. Examples include sightedness/blindness; hearing/deafness; mobility/immobility; </w:t>
      </w:r>
      <w:r w:rsidR="00E17C88" w:rsidRPr="00720140">
        <w:t xml:space="preserve">and </w:t>
      </w:r>
      <w:r w:rsidRPr="00720140">
        <w:t>speaking/nonspeaking. Each of these dualisms</w:t>
      </w:r>
      <w:r w:rsidR="00842646" w:rsidRPr="00720140">
        <w:t xml:space="preserve"> </w:t>
      </w:r>
      <w:r w:rsidRPr="00720140">
        <w:t>barr</w:t>
      </w:r>
      <w:r w:rsidR="00DA2F5C" w:rsidRPr="00720140">
        <w:t>icade the</w:t>
      </w:r>
      <w:r w:rsidR="00EC343B" w:rsidRPr="00720140">
        <w:t xml:space="preserve"> </w:t>
      </w:r>
      <w:r w:rsidRPr="00720140">
        <w:t xml:space="preserve">intersubjective communication and shared understanding </w:t>
      </w:r>
      <w:r w:rsidR="00EC343B" w:rsidRPr="00720140">
        <w:t>that phaneroscopy</w:t>
      </w:r>
      <w:r w:rsidR="00982E17" w:rsidRPr="00720140">
        <w:t xml:space="preserve"> (phenomenological description)</w:t>
      </w:r>
      <w:r w:rsidR="00EC343B" w:rsidRPr="00720140">
        <w:t xml:space="preserve"> and semiotic </w:t>
      </w:r>
      <w:r w:rsidR="00982E17" w:rsidRPr="00720140">
        <w:t xml:space="preserve">(sign interpretation) </w:t>
      </w:r>
      <w:r w:rsidR="00DA2F5C" w:rsidRPr="00720140">
        <w:t>embrace as a philosophical matter of course</w:t>
      </w:r>
      <w:r w:rsidRPr="00720140">
        <w:t>.</w:t>
      </w:r>
    </w:p>
    <w:p w14:paraId="28D55E07" w14:textId="502B0D9D" w:rsidR="00C930E2" w:rsidRPr="00720140" w:rsidRDefault="00EC343B" w:rsidP="00A972F9">
      <w:pPr>
        <w:pStyle w:val="Heading1"/>
        <w:spacing w:after="0"/>
        <w:ind w:firstLine="0"/>
        <w:jc w:val="center"/>
        <w:rPr>
          <w:rFonts w:cs="Times New Roman"/>
          <w:szCs w:val="24"/>
        </w:rPr>
      </w:pPr>
      <w:r w:rsidRPr="00720140">
        <w:rPr>
          <w:rFonts w:cs="Times New Roman"/>
          <w:szCs w:val="24"/>
        </w:rPr>
        <w:t>UD</w:t>
      </w:r>
      <w:r w:rsidR="00C930E2" w:rsidRPr="00720140">
        <w:rPr>
          <w:rFonts w:cs="Times New Roman"/>
          <w:szCs w:val="24"/>
        </w:rPr>
        <w:t>L</w:t>
      </w:r>
      <w:r w:rsidR="00EF0675" w:rsidRPr="00720140">
        <w:rPr>
          <w:rFonts w:cs="Times New Roman"/>
          <w:szCs w:val="24"/>
        </w:rPr>
        <w:t xml:space="preserve"> Outside the Box</w:t>
      </w:r>
      <w:r w:rsidR="00C930E2" w:rsidRPr="00720140">
        <w:rPr>
          <w:rFonts w:cs="Times New Roman"/>
          <w:szCs w:val="24"/>
        </w:rPr>
        <w:t>: Pragmaticism</w:t>
      </w:r>
      <w:r w:rsidRPr="00720140">
        <w:rPr>
          <w:rFonts w:cs="Times New Roman"/>
          <w:szCs w:val="24"/>
        </w:rPr>
        <w:t>,</w:t>
      </w:r>
      <w:r w:rsidR="00C930E2" w:rsidRPr="00720140">
        <w:rPr>
          <w:rFonts w:cs="Times New Roman"/>
          <w:szCs w:val="24"/>
        </w:rPr>
        <w:t xml:space="preserve"> Phaneroscopy</w:t>
      </w:r>
      <w:r w:rsidRPr="00720140">
        <w:rPr>
          <w:rFonts w:cs="Times New Roman"/>
          <w:szCs w:val="24"/>
        </w:rPr>
        <w:t>, Semiotic</w:t>
      </w:r>
    </w:p>
    <w:p w14:paraId="6A17BC69" w14:textId="51988196" w:rsidR="00C844A3" w:rsidRPr="00720140" w:rsidRDefault="00EF0675" w:rsidP="00EB2E82">
      <w:r w:rsidRPr="00720140">
        <w:t xml:space="preserve">As Stephen Kuusisto </w:t>
      </w:r>
      <w:r w:rsidR="00982E17" w:rsidRPr="00720140">
        <w:t xml:space="preserve">(2020) </w:t>
      </w:r>
      <w:r w:rsidRPr="00720140">
        <w:t>observes</w:t>
      </w:r>
      <w:r w:rsidR="00EC343B" w:rsidRPr="00720140">
        <w:t xml:space="preserve"> in this article’s </w:t>
      </w:r>
      <w:r w:rsidR="00DA2F5C" w:rsidRPr="00720140">
        <w:t xml:space="preserve">first </w:t>
      </w:r>
      <w:r w:rsidR="00EC343B" w:rsidRPr="00720140">
        <w:t>epigraph</w:t>
      </w:r>
      <w:r w:rsidRPr="00720140">
        <w:t xml:space="preserve">, disabled bodies are always outside the proverbial box. Peircean pragmaticism, encompassing phaneroscopy and semiotic, illustrates how </w:t>
      </w:r>
      <w:r w:rsidR="00AA272A" w:rsidRPr="00720140">
        <w:t>UDL</w:t>
      </w:r>
      <w:r w:rsidRPr="00720140">
        <w:t xml:space="preserve"> </w:t>
      </w:r>
      <w:r w:rsidR="00AA272A" w:rsidRPr="00720140">
        <w:t xml:space="preserve">can </w:t>
      </w:r>
      <w:r w:rsidR="00DA2F5C" w:rsidRPr="00720140">
        <w:t xml:space="preserve">unbox </w:t>
      </w:r>
      <w:r w:rsidR="002202C9" w:rsidRPr="00720140">
        <w:t>education</w:t>
      </w:r>
      <w:r w:rsidR="00DA2F5C" w:rsidRPr="00720140">
        <w:t>, bringing teaching and learning</w:t>
      </w:r>
      <w:r w:rsidR="002202C9" w:rsidRPr="00720140">
        <w:t xml:space="preserve"> </w:t>
      </w:r>
      <w:r w:rsidR="00C844A3" w:rsidRPr="00720140">
        <w:t>outside, as it were, into fresh air</w:t>
      </w:r>
      <w:r w:rsidR="008B5A92" w:rsidRPr="00720140">
        <w:t xml:space="preserve">. To the extent that UDL principles likewise tend to be placed in boxes, checklists, and other ill-fitting containers (Dolmage, 2017), the </w:t>
      </w:r>
      <w:r w:rsidR="00C844A3" w:rsidRPr="00720140">
        <w:t xml:space="preserve">multi-voiced dialogue explored in these pages, between Disability Studies, Peircean pragmaticism, and theories and practices of UDL stands to benefit likewise from </w:t>
      </w:r>
      <w:r w:rsidR="00654514" w:rsidRPr="00720140">
        <w:t>fresh philosophical air</w:t>
      </w:r>
      <w:r w:rsidR="00DA2F5C" w:rsidRPr="00720140">
        <w:t>.</w:t>
      </w:r>
    </w:p>
    <w:p w14:paraId="242D43A3" w14:textId="1F219BDE" w:rsidR="00EB2E82" w:rsidRPr="00720140" w:rsidRDefault="00EB2E82" w:rsidP="00EB2E82">
      <w:r w:rsidRPr="00720140">
        <w:t xml:space="preserve">An initial, and frequent objection to discussing </w:t>
      </w:r>
      <w:r w:rsidR="00AA272A" w:rsidRPr="00720140">
        <w:t>UDL</w:t>
      </w:r>
      <w:r w:rsidR="00EC343B" w:rsidRPr="00720140">
        <w:t>, one acknowledged by its leading proponents,</w:t>
      </w:r>
      <w:r w:rsidRPr="00720140">
        <w:t xml:space="preserve"> is that its various methods </w:t>
      </w:r>
      <w:r w:rsidR="00DA2F5C" w:rsidRPr="00720140">
        <w:t xml:space="preserve">might </w:t>
      </w:r>
      <w:r w:rsidRPr="00720140">
        <w:t xml:space="preserve">simply </w:t>
      </w:r>
      <w:r w:rsidR="00982E17" w:rsidRPr="00720140">
        <w:t xml:space="preserve">exemplify good </w:t>
      </w:r>
      <w:r w:rsidRPr="00720140">
        <w:t>teaching and successful learning</w:t>
      </w:r>
      <w:r w:rsidR="00EC343B" w:rsidRPr="00720140">
        <w:t>. C</w:t>
      </w:r>
      <w:r w:rsidRPr="00720140">
        <w:t xml:space="preserve">onsequently, </w:t>
      </w:r>
      <w:r w:rsidR="00AA272A" w:rsidRPr="00720140">
        <w:t>according to this line of argument</w:t>
      </w:r>
      <w:r w:rsidR="00EC343B" w:rsidRPr="00720140">
        <w:t xml:space="preserve">, </w:t>
      </w:r>
      <w:r w:rsidRPr="00720140">
        <w:t>there is no need to add yet another concept or framework to a seemingly infinite supply</w:t>
      </w:r>
      <w:r w:rsidR="00EC343B" w:rsidRPr="00720140">
        <w:t xml:space="preserve"> of educational theories and philosophies</w:t>
      </w:r>
      <w:r w:rsidRPr="00720140">
        <w:t>. A</w:t>
      </w:r>
      <w:r w:rsidR="00EC343B" w:rsidRPr="00720140">
        <w:t xml:space="preserve"> related</w:t>
      </w:r>
      <w:r w:rsidRPr="00720140">
        <w:t xml:space="preserve"> version of this objection is that providing multiple ways for students and teachers to interact in educational setting</w:t>
      </w:r>
      <w:r w:rsidR="00EC343B" w:rsidRPr="00720140">
        <w:t>s</w:t>
      </w:r>
      <w:r w:rsidRPr="00720140">
        <w:t xml:space="preserve"> is no more than common sense. </w:t>
      </w:r>
      <w:r w:rsidR="000915A1" w:rsidRPr="00720140">
        <w:t xml:space="preserve">Grounding UDL in </w:t>
      </w:r>
      <w:r w:rsidR="000915A1" w:rsidRPr="00720140">
        <w:lastRenderedPageBreak/>
        <w:t>phaneroscopy, and semiotic</w:t>
      </w:r>
      <w:r w:rsidR="00E17C88" w:rsidRPr="00720140">
        <w:t>,</w:t>
      </w:r>
      <w:r w:rsidR="000915A1" w:rsidRPr="00720140">
        <w:t xml:space="preserve"> might</w:t>
      </w:r>
      <w:r w:rsidRPr="00720140">
        <w:t xml:space="preserve"> thus seem </w:t>
      </w:r>
      <w:r w:rsidR="000915A1" w:rsidRPr="00720140">
        <w:t>to accomplish nothing</w:t>
      </w:r>
      <w:r w:rsidR="00982E17" w:rsidRPr="00720140">
        <w:t xml:space="preserve"> more than</w:t>
      </w:r>
      <w:r w:rsidR="00DA2F5C" w:rsidRPr="00720140">
        <w:t xml:space="preserve"> a philosophically arduous union of</w:t>
      </w:r>
      <w:r w:rsidRPr="00720140">
        <w:t xml:space="preserve"> the superfluous </w:t>
      </w:r>
      <w:r w:rsidR="00DA2F5C" w:rsidRPr="00720140">
        <w:t>with</w:t>
      </w:r>
      <w:r w:rsidRPr="00720140">
        <w:t xml:space="preserve"> the redundant. Recent scholarship, both on </w:t>
      </w:r>
      <w:r w:rsidR="00E92ADC" w:rsidRPr="00720140">
        <w:t xml:space="preserve">semiotics in education, and </w:t>
      </w:r>
      <w:r w:rsidR="00AA272A" w:rsidRPr="00720140">
        <w:t>UDL</w:t>
      </w:r>
      <w:r w:rsidR="00E92ADC" w:rsidRPr="00720140">
        <w:t>, however, identif</w:t>
      </w:r>
      <w:r w:rsidR="00654514" w:rsidRPr="00720140">
        <w:t>ies</w:t>
      </w:r>
      <w:r w:rsidR="00E92ADC" w:rsidRPr="00720140">
        <w:t xml:space="preserve"> </w:t>
      </w:r>
      <w:r w:rsidR="00AA272A" w:rsidRPr="00720140">
        <w:t>specific</w:t>
      </w:r>
      <w:r w:rsidR="00E92ADC" w:rsidRPr="00720140">
        <w:t xml:space="preserve"> curricular and pedagogical difficulties </w:t>
      </w:r>
      <w:r w:rsidR="00AA272A" w:rsidRPr="00720140">
        <w:t xml:space="preserve">that arise </w:t>
      </w:r>
      <w:r w:rsidR="00EC343B" w:rsidRPr="00720140">
        <w:t xml:space="preserve">in its practical application to </w:t>
      </w:r>
      <w:r w:rsidR="00654514" w:rsidRPr="00720140">
        <w:t>higher education</w:t>
      </w:r>
      <w:r w:rsidR="00AA272A" w:rsidRPr="00720140">
        <w:t xml:space="preserve">. In this spirit, </w:t>
      </w:r>
      <w:r w:rsidR="00DA2F5C" w:rsidRPr="00720140">
        <w:t xml:space="preserve">a spirit always fallible, </w:t>
      </w:r>
      <w:r w:rsidR="00AA272A" w:rsidRPr="00720140">
        <w:t xml:space="preserve">I offer some provisional rejoinders </w:t>
      </w:r>
      <w:r w:rsidR="00E92ADC" w:rsidRPr="00720140">
        <w:t xml:space="preserve">to these </w:t>
      </w:r>
      <w:r w:rsidR="00EC343B" w:rsidRPr="00720140">
        <w:t xml:space="preserve">interconnected </w:t>
      </w:r>
      <w:r w:rsidR="00AA272A" w:rsidRPr="00720140">
        <w:t xml:space="preserve">forms </w:t>
      </w:r>
      <w:r w:rsidR="00EC343B" w:rsidRPr="00720140">
        <w:t>of resistance</w:t>
      </w:r>
      <w:r w:rsidR="00AA272A" w:rsidRPr="00720140">
        <w:t xml:space="preserve"> against UDL</w:t>
      </w:r>
      <w:r w:rsidR="00E92ADC" w:rsidRPr="00720140">
        <w:t>.</w:t>
      </w:r>
    </w:p>
    <w:p w14:paraId="508CDBAD" w14:textId="37405BF0" w:rsidR="007303CA" w:rsidRPr="00720140" w:rsidRDefault="00BE78A4" w:rsidP="007303CA">
      <w:r w:rsidRPr="00720140">
        <w:t xml:space="preserve">An important rationale for the pragmaticist approach to </w:t>
      </w:r>
      <w:r w:rsidR="00AA272A" w:rsidRPr="00720140">
        <w:t>UDL</w:t>
      </w:r>
      <w:r w:rsidRPr="00720140">
        <w:t xml:space="preserve"> embraced in this article is </w:t>
      </w:r>
      <w:r w:rsidR="00BB41AB" w:rsidRPr="00720140">
        <w:t xml:space="preserve">that </w:t>
      </w:r>
      <w:r w:rsidR="00654514" w:rsidRPr="00720140">
        <w:t>the latter’s</w:t>
      </w:r>
      <w:r w:rsidR="00BB41AB" w:rsidRPr="00720140">
        <w:t xml:space="preserve"> educational identity remains hazy, and that, more fundamentally, its theoretical flaws, and practical challenges have been given short shrift:</w:t>
      </w:r>
      <w:r w:rsidR="00CA5887" w:rsidRPr="00720140">
        <w:t xml:space="preserve"> </w:t>
      </w:r>
      <w:r w:rsidRPr="00720140">
        <w:t xml:space="preserve">“unless serious intellectual energy is devoted to addressing the </w:t>
      </w:r>
      <w:r w:rsidRPr="00720140">
        <w:rPr>
          <w:rStyle w:val="BookTitle"/>
          <w:b w:val="0"/>
          <w:bCs w:val="0"/>
          <w:i w:val="0"/>
          <w:iCs w:val="0"/>
        </w:rPr>
        <w:t>current</w:t>
      </w:r>
      <w:r w:rsidRPr="00720140">
        <w:t xml:space="preserve"> shortcomings of the UDL construct, within the next 10 years we may be commemorating the</w:t>
      </w:r>
      <w:r w:rsidRPr="00720140">
        <w:rPr>
          <w:rStyle w:val="BookTitle"/>
          <w:b w:val="0"/>
          <w:bCs w:val="0"/>
          <w:i w:val="0"/>
          <w:iCs w:val="0"/>
        </w:rPr>
        <w:t xml:space="preserve"> </w:t>
      </w:r>
      <w:r w:rsidRPr="00720140">
        <w:t>passing of another education fad” (Edyburn, 2010, p. 40).</w:t>
      </w:r>
    </w:p>
    <w:p w14:paraId="1B8C427F" w14:textId="583293A7" w:rsidR="00DF4F93" w:rsidRPr="00720140" w:rsidRDefault="005C640C" w:rsidP="00DF4F93">
      <w:r w:rsidRPr="00720140">
        <w:t xml:space="preserve">In their introduction to </w:t>
      </w:r>
      <w:r w:rsidRPr="00720140">
        <w:rPr>
          <w:i/>
          <w:iCs/>
        </w:rPr>
        <w:t>Semiotic Theory of Learning</w:t>
      </w:r>
      <w:r w:rsidRPr="00720140">
        <w:t>, Stables</w:t>
      </w:r>
      <w:r w:rsidR="00E17C88" w:rsidRPr="00720140">
        <w:t xml:space="preserve"> et al</w:t>
      </w:r>
      <w:r w:rsidR="007021F5" w:rsidRPr="00720140">
        <w:t>. (2</w:t>
      </w:r>
      <w:r w:rsidRPr="00720140">
        <w:t xml:space="preserve">018) </w:t>
      </w:r>
      <w:r w:rsidR="00C844A3" w:rsidRPr="00720140">
        <w:t>pointedly criticize</w:t>
      </w:r>
      <w:r w:rsidR="00AA272A" w:rsidRPr="00720140">
        <w:t xml:space="preserve"> theories about experience, cognition, and behavior </w:t>
      </w:r>
      <w:r w:rsidR="00C26BA0" w:rsidRPr="00720140">
        <w:t>for subsiding</w:t>
      </w:r>
      <w:r w:rsidR="00AA272A" w:rsidRPr="00720140">
        <w:t xml:space="preserve"> into dualisms</w:t>
      </w:r>
      <w:r w:rsidRPr="00720140">
        <w:t xml:space="preserve"> that </w:t>
      </w:r>
      <w:r w:rsidR="00D74807" w:rsidRPr="00720140">
        <w:t xml:space="preserve">have </w:t>
      </w:r>
      <w:r w:rsidR="00C26BA0" w:rsidRPr="00720140">
        <w:t>made</w:t>
      </w:r>
      <w:r w:rsidR="005973A8" w:rsidRPr="00720140">
        <w:t xml:space="preserve"> </w:t>
      </w:r>
      <w:r w:rsidR="00C26BA0" w:rsidRPr="00720140">
        <w:t>analyses of</w:t>
      </w:r>
      <w:r w:rsidR="005973A8" w:rsidRPr="00720140">
        <w:t xml:space="preserve"> learning </w:t>
      </w:r>
      <w:r w:rsidR="00C26BA0" w:rsidRPr="00720140">
        <w:t>brittle</w:t>
      </w:r>
      <w:r w:rsidR="005973A8" w:rsidRPr="00720140">
        <w:t>.</w:t>
      </w:r>
      <w:r w:rsidR="00881542" w:rsidRPr="00720140">
        <w:t xml:space="preserve"> </w:t>
      </w:r>
      <w:r w:rsidR="005973A8" w:rsidRPr="00720140">
        <w:t>F</w:t>
      </w:r>
      <w:r w:rsidR="00BB41AB" w:rsidRPr="00720140">
        <w:t xml:space="preserve">or </w:t>
      </w:r>
      <w:r w:rsidR="005973A8" w:rsidRPr="00720140">
        <w:t xml:space="preserve">these commentators, </w:t>
      </w:r>
      <w:r w:rsidR="00BB41AB" w:rsidRPr="00720140">
        <w:t xml:space="preserve">semiotic approaches </w:t>
      </w:r>
      <w:r w:rsidR="00881542" w:rsidRPr="00720140">
        <w:t xml:space="preserve">can </w:t>
      </w:r>
      <w:r w:rsidR="005973A8" w:rsidRPr="00720140">
        <w:t>be reparative</w:t>
      </w:r>
      <w:r w:rsidR="00DB07A7" w:rsidRPr="00720140">
        <w:t xml:space="preserve"> </w:t>
      </w:r>
      <w:r w:rsidRPr="00720140">
        <w:t>(p. 1).</w:t>
      </w:r>
      <w:r w:rsidR="006F424A" w:rsidRPr="00720140" w:rsidDel="006F424A">
        <w:t xml:space="preserve"> </w:t>
      </w:r>
      <w:r w:rsidR="0004173D" w:rsidRPr="00720140">
        <w:t xml:space="preserve">Building on their critique, I argue that an evolutionary, process-based account of learning </w:t>
      </w:r>
      <w:r w:rsidR="00687DA1" w:rsidRPr="00720140">
        <w:t>retrieves</w:t>
      </w:r>
      <w:r w:rsidR="0004173D" w:rsidRPr="00720140">
        <w:t xml:space="preserve"> the access needs of disabled teachers and students from the </w:t>
      </w:r>
      <w:r w:rsidR="00C26BA0" w:rsidRPr="00720140">
        <w:t>neat and tidy boxes int</w:t>
      </w:r>
      <w:r w:rsidR="00C844A3" w:rsidRPr="00720140">
        <w:t xml:space="preserve">o which </w:t>
      </w:r>
      <w:r w:rsidR="00687DA1" w:rsidRPr="00720140">
        <w:t>higher education</w:t>
      </w:r>
      <w:r w:rsidR="00C844A3" w:rsidRPr="00720140">
        <w:t xml:space="preserve"> </w:t>
      </w:r>
      <w:r w:rsidR="00D74807" w:rsidRPr="00720140">
        <w:t>has often placed</w:t>
      </w:r>
      <w:r w:rsidR="00C844A3" w:rsidRPr="00720140">
        <w:t xml:space="preserve"> them</w:t>
      </w:r>
      <w:r w:rsidR="00687DA1" w:rsidRPr="00720140">
        <w:t xml:space="preserve">, </w:t>
      </w:r>
      <w:r w:rsidR="00D74807" w:rsidRPr="00720140">
        <w:t>moving</w:t>
      </w:r>
      <w:r w:rsidR="00C844A3" w:rsidRPr="00720140">
        <w:t xml:space="preserve"> </w:t>
      </w:r>
      <w:r w:rsidR="00687DA1" w:rsidRPr="00720140">
        <w:t>disability</w:t>
      </w:r>
      <w:r w:rsidR="00C844A3" w:rsidRPr="00720140">
        <w:t>’s multi-faceted ways of being</w:t>
      </w:r>
      <w:r w:rsidR="00687DA1" w:rsidRPr="00720140">
        <w:t xml:space="preserve"> </w:t>
      </w:r>
      <w:r w:rsidR="00C26BA0" w:rsidRPr="00720140">
        <w:t>in</w:t>
      </w:r>
      <w:r w:rsidR="00D74807" w:rsidRPr="00720140">
        <w:t>to</w:t>
      </w:r>
      <w:r w:rsidR="00C26BA0" w:rsidRPr="00720140">
        <w:t xml:space="preserve"> the open, unboxed spaces beloved of pragmaticism</w:t>
      </w:r>
      <w:r w:rsidR="00687DA1" w:rsidRPr="00720140">
        <w:t>.</w:t>
      </w:r>
    </w:p>
    <w:p w14:paraId="590249FD" w14:textId="75CF1F8C" w:rsidR="0004173D" w:rsidRPr="00720140" w:rsidRDefault="00C26BA0" w:rsidP="00D0245A">
      <w:r w:rsidRPr="00720140">
        <w:t>Infrequent</w:t>
      </w:r>
      <w:r w:rsidR="00406B2D" w:rsidRPr="00720140">
        <w:t xml:space="preserve"> references to pragmatism </w:t>
      </w:r>
      <w:r w:rsidR="007302EF" w:rsidRPr="00720140">
        <w:t xml:space="preserve">within Disability Studies scholarship </w:t>
      </w:r>
      <w:r w:rsidRPr="00720140">
        <w:t xml:space="preserve">offer </w:t>
      </w:r>
      <w:r w:rsidR="00D74807" w:rsidRPr="00720140">
        <w:t>portray</w:t>
      </w:r>
      <w:r w:rsidRPr="00720140">
        <w:t xml:space="preserve"> this philosophical system as</w:t>
      </w:r>
      <w:r w:rsidR="00406B2D" w:rsidRPr="00720140">
        <w:t xml:space="preserve"> clinical, and </w:t>
      </w:r>
      <w:r w:rsidR="006545D6" w:rsidRPr="00720140">
        <w:t>business-minded</w:t>
      </w:r>
      <w:r w:rsidR="00D74807" w:rsidRPr="00720140">
        <w:t>,</w:t>
      </w:r>
      <w:r w:rsidR="00406B2D" w:rsidRPr="00720140">
        <w:t xml:space="preserve"> preoccup</w:t>
      </w:r>
      <w:r w:rsidR="00D74807" w:rsidRPr="00720140">
        <w:t>ied</w:t>
      </w:r>
      <w:r w:rsidR="00406B2D" w:rsidRPr="00720140">
        <w:t xml:space="preserve"> with “what works” for the smallest cost.</w:t>
      </w:r>
      <w:r w:rsidR="00BC276B" w:rsidRPr="00720140">
        <w:t xml:space="preserve"> Tanya Titchkosky’s (2003) discussion of “pragmatism</w:t>
      </w:r>
      <w:r w:rsidRPr="00720140">
        <w:t>,</w:t>
      </w:r>
      <w:r w:rsidR="00BC276B" w:rsidRPr="00720140">
        <w:t xml:space="preserve">” </w:t>
      </w:r>
      <w:r w:rsidRPr="00720140">
        <w:t xml:space="preserve">for example, </w:t>
      </w:r>
      <w:r w:rsidR="00BC276B" w:rsidRPr="00720140">
        <w:t xml:space="preserve">does not </w:t>
      </w:r>
      <w:r w:rsidR="00AE014A" w:rsidRPr="00720140">
        <w:t>discuss</w:t>
      </w:r>
      <w:r w:rsidR="00BC276B" w:rsidRPr="00720140">
        <w:t xml:space="preserve"> the </w:t>
      </w:r>
      <w:r w:rsidRPr="00720140">
        <w:t xml:space="preserve">varied </w:t>
      </w:r>
      <w:r w:rsidR="00BC276B" w:rsidRPr="00720140">
        <w:t>meanings of pragmatism in philosophical discourse, and as a result, does not account for the ways in which Peirce</w:t>
      </w:r>
      <w:r w:rsidRPr="00720140">
        <w:t>’s work, in particular,</w:t>
      </w:r>
      <w:r w:rsidR="00BC276B" w:rsidRPr="00720140">
        <w:t xml:space="preserve"> offers </w:t>
      </w:r>
      <w:r w:rsidR="00D74807" w:rsidRPr="00720140">
        <w:t>an</w:t>
      </w:r>
      <w:r w:rsidR="00BC276B" w:rsidRPr="00720140">
        <w:t xml:space="preserve"> antidote </w:t>
      </w:r>
      <w:r w:rsidR="00406B2D" w:rsidRPr="00720140">
        <w:t xml:space="preserve">to </w:t>
      </w:r>
      <w:r w:rsidR="00D74807" w:rsidRPr="00720140">
        <w:t>the disabling practices</w:t>
      </w:r>
      <w:r w:rsidR="00B9319C" w:rsidRPr="00720140">
        <w:t xml:space="preserve"> that Titchkosky </w:t>
      </w:r>
      <w:r w:rsidR="007302EF" w:rsidRPr="00720140">
        <w:t xml:space="preserve">so </w:t>
      </w:r>
      <w:r w:rsidR="00AE014A" w:rsidRPr="00720140">
        <w:t>persuasively</w:t>
      </w:r>
      <w:r w:rsidR="007302EF" w:rsidRPr="00720140">
        <w:t xml:space="preserve"> </w:t>
      </w:r>
      <w:r w:rsidR="00B9319C" w:rsidRPr="00720140">
        <w:t>critiques (p. 117).</w:t>
      </w:r>
    </w:p>
    <w:p w14:paraId="09B0B4E3" w14:textId="088587AB" w:rsidR="00BC276B" w:rsidRPr="00720140" w:rsidRDefault="00BC276B" w:rsidP="00D0245A">
      <w:r w:rsidRPr="00720140">
        <w:lastRenderedPageBreak/>
        <w:t xml:space="preserve">For </w:t>
      </w:r>
      <w:r w:rsidR="007302EF" w:rsidRPr="00720140">
        <w:t>my purposes</w:t>
      </w:r>
      <w:r w:rsidRPr="00720140">
        <w:t>,</w:t>
      </w:r>
      <w:r w:rsidR="007302EF" w:rsidRPr="00720140">
        <w:t xml:space="preserve"> then,</w:t>
      </w:r>
      <w:r w:rsidRPr="00720140">
        <w:t xml:space="preserve"> the </w:t>
      </w:r>
      <w:r w:rsidR="007302EF" w:rsidRPr="00720140">
        <w:t xml:space="preserve">transformative and continually unfolding </w:t>
      </w:r>
      <w:r w:rsidRPr="00720140">
        <w:t>relationship between UDL and Disability Studies</w:t>
      </w:r>
      <w:r w:rsidR="005B6BCF" w:rsidRPr="00720140">
        <w:t xml:space="preserve"> </w:t>
      </w:r>
      <w:r w:rsidRPr="00720140">
        <w:t xml:space="preserve">is </w:t>
      </w:r>
      <w:r w:rsidR="007302EF" w:rsidRPr="00720140">
        <w:t>one that echoes throughout with notes of caution sounded by</w:t>
      </w:r>
      <w:r w:rsidR="005B5C3A" w:rsidRPr="00720140">
        <w:t xml:space="preserve"> Disability Studies scholars </w:t>
      </w:r>
      <w:r w:rsidR="007302EF" w:rsidRPr="00720140">
        <w:t>that UDL’s</w:t>
      </w:r>
      <w:r w:rsidR="005B5C3A" w:rsidRPr="00720140">
        <w:t xml:space="preserve"> </w:t>
      </w:r>
      <w:r w:rsidR="007302EF" w:rsidRPr="00720140">
        <w:t xml:space="preserve">rich </w:t>
      </w:r>
      <w:r w:rsidR="005B5C3A" w:rsidRPr="00720140">
        <w:t xml:space="preserve">possibilities </w:t>
      </w:r>
      <w:r w:rsidR="007302EF" w:rsidRPr="00720140">
        <w:t xml:space="preserve">for </w:t>
      </w:r>
      <w:r w:rsidR="00C26BA0" w:rsidRPr="00720140">
        <w:t>disability access, however carefully framed</w:t>
      </w:r>
      <w:r w:rsidR="007302EF" w:rsidRPr="00720140">
        <w:t xml:space="preserve"> within a systematic, readily approachable </w:t>
      </w:r>
      <w:r w:rsidR="00C26BA0" w:rsidRPr="00720140">
        <w:t xml:space="preserve">set of </w:t>
      </w:r>
      <w:r w:rsidR="007302EF" w:rsidRPr="00720140">
        <w:t>guide</w:t>
      </w:r>
      <w:r w:rsidR="00C26BA0" w:rsidRPr="00720140">
        <w:t>lines</w:t>
      </w:r>
      <w:r w:rsidR="007302EF" w:rsidRPr="00720140">
        <w:t xml:space="preserve">, </w:t>
      </w:r>
      <w:r w:rsidR="00C26BA0" w:rsidRPr="00720140">
        <w:t>however</w:t>
      </w:r>
      <w:r w:rsidR="007302EF" w:rsidRPr="00720140">
        <w:t xml:space="preserve"> frequent</w:t>
      </w:r>
      <w:r w:rsidR="00C26BA0" w:rsidRPr="00720140">
        <w:t>ly</w:t>
      </w:r>
      <w:r w:rsidR="007302EF" w:rsidRPr="00720140">
        <w:t xml:space="preserve"> update</w:t>
      </w:r>
      <w:r w:rsidR="00C26BA0" w:rsidRPr="00720140">
        <w:t>d</w:t>
      </w:r>
      <w:r w:rsidR="007302EF" w:rsidRPr="00720140">
        <w:t xml:space="preserve"> and revis</w:t>
      </w:r>
      <w:r w:rsidR="00C26BA0" w:rsidRPr="00720140">
        <w:t>ed to absorb new understanding,</w:t>
      </w:r>
      <w:r w:rsidR="007302EF" w:rsidRPr="00720140">
        <w:t xml:space="preserve"> </w:t>
      </w:r>
      <w:r w:rsidR="00DF4F93" w:rsidRPr="00720140">
        <w:t xml:space="preserve">are </w:t>
      </w:r>
      <w:r w:rsidR="00D74807" w:rsidRPr="00720140">
        <w:t xml:space="preserve">still </w:t>
      </w:r>
      <w:r w:rsidR="00DF4F93" w:rsidRPr="00720140">
        <w:t xml:space="preserve">not impervious to the sorts of boxes that deny disabled embodiments their </w:t>
      </w:r>
      <w:r w:rsidR="00D74807" w:rsidRPr="00720140">
        <w:t xml:space="preserve">creative </w:t>
      </w:r>
      <w:r w:rsidR="00DF4F93" w:rsidRPr="00720140">
        <w:t>ways.</w:t>
      </w:r>
    </w:p>
    <w:p w14:paraId="50C5D668" w14:textId="5DB9A2F1" w:rsidR="00D0245A" w:rsidRPr="00720140" w:rsidRDefault="0048683B" w:rsidP="00D0245A">
      <w:r w:rsidRPr="00720140">
        <w:t xml:space="preserve">A definition of learning consistent with </w:t>
      </w:r>
      <w:r w:rsidR="006545D6" w:rsidRPr="00720140">
        <w:t>Peirce</w:t>
      </w:r>
      <w:r w:rsidR="00DF4F93" w:rsidRPr="00720140">
        <w:t xml:space="preserve">an phaneroscopy and </w:t>
      </w:r>
      <w:r w:rsidR="006545D6" w:rsidRPr="00720140">
        <w:t>semiotic</w:t>
      </w:r>
      <w:r w:rsidRPr="00720140">
        <w:t xml:space="preserve"> </w:t>
      </w:r>
      <w:r w:rsidR="00CD6CD0" w:rsidRPr="00720140">
        <w:t>emphasize</w:t>
      </w:r>
      <w:r w:rsidR="00B9319C" w:rsidRPr="00720140">
        <w:t>s</w:t>
      </w:r>
      <w:r w:rsidR="00CD6CD0" w:rsidRPr="00720140">
        <w:t xml:space="preserve"> </w:t>
      </w:r>
      <w:r w:rsidR="00E844C4" w:rsidRPr="00720140">
        <w:t xml:space="preserve">its </w:t>
      </w:r>
      <w:r w:rsidR="00CD6CD0" w:rsidRPr="00720140">
        <w:t>fluidity and relationality, th</w:t>
      </w:r>
      <w:r w:rsidR="00B4158A" w:rsidRPr="00720140">
        <w:t xml:space="preserve">e way </w:t>
      </w:r>
      <w:r w:rsidR="00E844C4" w:rsidRPr="00720140">
        <w:t>in which educational practices</w:t>
      </w:r>
      <w:r w:rsidR="00B4158A" w:rsidRPr="00720140">
        <w:t xml:space="preserve"> stretch out </w:t>
      </w:r>
      <w:r w:rsidR="00BB3B02" w:rsidRPr="00720140">
        <w:t xml:space="preserve">toward </w:t>
      </w:r>
      <w:r w:rsidR="00B4158A" w:rsidRPr="00720140">
        <w:t xml:space="preserve">an always </w:t>
      </w:r>
      <w:r w:rsidR="006E78D7" w:rsidRPr="00720140">
        <w:t xml:space="preserve">receding </w:t>
      </w:r>
      <w:r w:rsidR="00B4158A" w:rsidRPr="00720140">
        <w:t>horizon</w:t>
      </w:r>
      <w:r w:rsidR="00BB41AB" w:rsidRPr="00720140">
        <w:t xml:space="preserve"> of meaning</w:t>
      </w:r>
      <w:r w:rsidR="00B4158A" w:rsidRPr="00720140">
        <w:t>.</w:t>
      </w:r>
      <w:r w:rsidRPr="00720140">
        <w:t xml:space="preserve"> </w:t>
      </w:r>
      <w:r w:rsidR="00B4158A" w:rsidRPr="00720140">
        <w:t>What it means to learn, on this view, refuse</w:t>
      </w:r>
      <w:r w:rsidR="00BB41AB" w:rsidRPr="00720140">
        <w:t>s</w:t>
      </w:r>
      <w:r w:rsidR="00B4158A" w:rsidRPr="00720140">
        <w:t xml:space="preserve"> </w:t>
      </w:r>
      <w:r w:rsidR="00DF4F93" w:rsidRPr="00720140">
        <w:rPr>
          <w:i/>
          <w:iCs/>
        </w:rPr>
        <w:t>a priori</w:t>
      </w:r>
      <w:r w:rsidR="00B4158A" w:rsidRPr="00720140">
        <w:t xml:space="preserve"> separation between living and learning</w:t>
      </w:r>
      <w:r w:rsidR="00E844C4" w:rsidRPr="00720140">
        <w:t xml:space="preserve">, and </w:t>
      </w:r>
      <w:r w:rsidR="00421716" w:rsidRPr="00720140">
        <w:t>attend</w:t>
      </w:r>
      <w:r w:rsidR="00E844C4" w:rsidRPr="00720140">
        <w:t>s in equal measure</w:t>
      </w:r>
      <w:r w:rsidR="00421716" w:rsidRPr="00720140">
        <w:t xml:space="preserve"> to </w:t>
      </w:r>
      <w:r w:rsidR="00421716" w:rsidRPr="00720140">
        <w:rPr>
          <w:i/>
          <w:iCs/>
        </w:rPr>
        <w:t>possible</w:t>
      </w:r>
      <w:r w:rsidR="00421716" w:rsidRPr="00720140">
        <w:t xml:space="preserve">, </w:t>
      </w:r>
      <w:r w:rsidR="00E844C4" w:rsidRPr="00720140">
        <w:t>and</w:t>
      </w:r>
      <w:r w:rsidR="00421716" w:rsidRPr="00720140">
        <w:t xml:space="preserve"> </w:t>
      </w:r>
      <w:r w:rsidR="00421716" w:rsidRPr="00720140">
        <w:rPr>
          <w:i/>
          <w:iCs/>
        </w:rPr>
        <w:t>actual</w:t>
      </w:r>
      <w:r w:rsidR="00421716" w:rsidRPr="00720140">
        <w:t xml:space="preserve"> consequences</w:t>
      </w:r>
      <w:r w:rsidR="006E78D7" w:rsidRPr="00720140">
        <w:t xml:space="preserve"> of new knowledge</w:t>
      </w:r>
      <w:r w:rsidR="00565A3F" w:rsidRPr="00720140">
        <w:t>.</w:t>
      </w:r>
    </w:p>
    <w:p w14:paraId="070F1028" w14:textId="73E12D04" w:rsidR="00AC23AA" w:rsidRPr="00720140" w:rsidRDefault="00120D2C" w:rsidP="00D0245A">
      <w:r w:rsidRPr="00720140">
        <w:t xml:space="preserve">The </w:t>
      </w:r>
      <w:r w:rsidR="00D51364" w:rsidRPr="00720140">
        <w:t xml:space="preserve">curricular and pedagogical coordinates </w:t>
      </w:r>
      <w:r w:rsidR="005F401C" w:rsidRPr="00720140">
        <w:t xml:space="preserve">for locating </w:t>
      </w:r>
      <w:r w:rsidRPr="00720140">
        <w:t xml:space="preserve">disability </w:t>
      </w:r>
      <w:r w:rsidR="005F401C" w:rsidRPr="00720140">
        <w:t>access needs</w:t>
      </w:r>
      <w:r w:rsidR="007E17CD" w:rsidRPr="00720140">
        <w:t>,</w:t>
      </w:r>
      <w:r w:rsidR="005F401C" w:rsidRPr="00720140">
        <w:t xml:space="preserve"> </w:t>
      </w:r>
      <w:r w:rsidRPr="00720140">
        <w:t>often remain imperceptible</w:t>
      </w:r>
      <w:r w:rsidR="00D51364" w:rsidRPr="00720140">
        <w:t xml:space="preserve"> because of the stubborn tendency in education to imagine</w:t>
      </w:r>
      <w:r w:rsidRPr="00720140">
        <w:t xml:space="preserve"> and instruct</w:t>
      </w:r>
      <w:r w:rsidR="00D51364" w:rsidRPr="00720140">
        <w:t xml:space="preserve"> a </w:t>
      </w:r>
      <w:r w:rsidR="00550AE6" w:rsidRPr="00720140">
        <w:t>typified</w:t>
      </w:r>
      <w:r w:rsidR="00D51364" w:rsidRPr="00720140">
        <w:t xml:space="preserve"> learner</w:t>
      </w:r>
      <w:r w:rsidR="00BB41AB" w:rsidRPr="00720140">
        <w:t xml:space="preserve">, </w:t>
      </w:r>
      <w:r w:rsidR="00365785" w:rsidRPr="00720140">
        <w:t xml:space="preserve">a misdirected approach against which </w:t>
      </w:r>
      <w:r w:rsidR="00550AE6" w:rsidRPr="00720140">
        <w:t xml:space="preserve">the guiding lines of </w:t>
      </w:r>
      <w:r w:rsidR="00BB41AB" w:rsidRPr="00720140">
        <w:t>UDL</w:t>
      </w:r>
      <w:r w:rsidR="00550AE6" w:rsidRPr="00720140">
        <w:t xml:space="preserve"> </w:t>
      </w:r>
      <w:r w:rsidR="00FF318A" w:rsidRPr="00720140">
        <w:t xml:space="preserve">move, recognizing </w:t>
      </w:r>
      <w:r w:rsidR="00550AE6" w:rsidRPr="00720140">
        <w:t xml:space="preserve">its lack of correspondence to education’s </w:t>
      </w:r>
      <w:r w:rsidR="00550AE6" w:rsidRPr="00720140">
        <w:rPr>
          <w:i/>
          <w:iCs/>
        </w:rPr>
        <w:t>who</w:t>
      </w:r>
      <w:r w:rsidR="00550AE6" w:rsidRPr="00720140">
        <w:t xml:space="preserve">, </w:t>
      </w:r>
      <w:r w:rsidR="00550AE6" w:rsidRPr="00720140">
        <w:rPr>
          <w:i/>
          <w:iCs/>
        </w:rPr>
        <w:t>what,</w:t>
      </w:r>
      <w:r w:rsidR="00550AE6" w:rsidRPr="00720140">
        <w:t xml:space="preserve"> and </w:t>
      </w:r>
      <w:r w:rsidR="00550AE6" w:rsidRPr="00720140">
        <w:rPr>
          <w:i/>
          <w:iCs/>
        </w:rPr>
        <w:t>how</w:t>
      </w:r>
      <w:r w:rsidR="00706CF1" w:rsidRPr="00720140">
        <w:t xml:space="preserve"> (Hall</w:t>
      </w:r>
      <w:r w:rsidR="00432431" w:rsidRPr="00720140">
        <w:t xml:space="preserve"> et al.</w:t>
      </w:r>
      <w:r w:rsidR="00706CF1" w:rsidRPr="00720140">
        <w:t>, 2012, p. 2)</w:t>
      </w:r>
      <w:r w:rsidR="00D51364" w:rsidRPr="00720140">
        <w:t>.</w:t>
      </w:r>
      <w:r w:rsidR="00AA7A36" w:rsidRPr="00720140">
        <w:t xml:space="preserve"> While UDL’s proponents are right to protest </w:t>
      </w:r>
      <w:r w:rsidR="00E054F4" w:rsidRPr="00720140">
        <w:t xml:space="preserve">as unhelpful </w:t>
      </w:r>
      <w:r w:rsidR="00AA7A36" w:rsidRPr="00720140">
        <w:t>the paired oppositions between “</w:t>
      </w:r>
      <w:r w:rsidR="00E054F4" w:rsidRPr="00720140">
        <w:t>smart-not smart,’ “disabled-not disabled,” and “regular-not regular” (Hall et al., 2012, p. 2) upon which normative pedagogical systems are based, Disability Studies critiques go further, reminding us of the larger historical, political, cultural, and social systems of intersecting oppressions on which these distinctions</w:t>
      </w:r>
      <w:r w:rsidR="002E7557" w:rsidRPr="00720140">
        <w:t>, inseparable from their dehumanizing consequences,</w:t>
      </w:r>
      <w:r w:rsidR="00E054F4" w:rsidRPr="00720140">
        <w:t xml:space="preserve"> rely for their asserted legitimacy (Dolmage, 2017; Hamraie, 2013</w:t>
      </w:r>
      <w:r w:rsidR="00D74807" w:rsidRPr="00720140">
        <w:t>; Titchkosky, 2011</w:t>
      </w:r>
      <w:r w:rsidR="00E054F4" w:rsidRPr="00720140">
        <w:t>).</w:t>
      </w:r>
    </w:p>
    <w:p w14:paraId="4EAE301C" w14:textId="6ED55FF0" w:rsidR="008851C4" w:rsidRPr="00720140" w:rsidRDefault="00FC5B2E" w:rsidP="00A41DFF">
      <w:r w:rsidRPr="00720140">
        <w:t>Situating</w:t>
      </w:r>
      <w:r w:rsidR="006362C1" w:rsidRPr="00720140">
        <w:t xml:space="preserve"> its distinctive critical interventions </w:t>
      </w:r>
      <w:r w:rsidRPr="00720140">
        <w:t xml:space="preserve">within </w:t>
      </w:r>
      <w:r w:rsidR="00216372" w:rsidRPr="00720140">
        <w:t>new readings</w:t>
      </w:r>
      <w:r w:rsidRPr="00720140">
        <w:t xml:space="preserve"> of</w:t>
      </w:r>
      <w:r w:rsidR="006362C1" w:rsidRPr="00720140">
        <w:t xml:space="preserve"> history</w:t>
      </w:r>
      <w:r w:rsidR="007032D4" w:rsidRPr="00720140">
        <w:t>, culture, geography,</w:t>
      </w:r>
      <w:r w:rsidR="006362C1" w:rsidRPr="00720140">
        <w:t xml:space="preserve"> and society, </w:t>
      </w:r>
      <w:r w:rsidR="00FE6985" w:rsidRPr="00720140">
        <w:t>Disability Studies scholarship work</w:t>
      </w:r>
      <w:r w:rsidRPr="00720140">
        <w:t>s</w:t>
      </w:r>
      <w:r w:rsidR="00FE6985" w:rsidRPr="00720140">
        <w:t xml:space="preserve"> assiduously to secure a place for </w:t>
      </w:r>
      <w:r w:rsidR="00FE6985" w:rsidRPr="00720140">
        <w:lastRenderedPageBreak/>
        <w:t>disabled embodiment</w:t>
      </w:r>
      <w:r w:rsidR="00216372" w:rsidRPr="00720140">
        <w:t>s</w:t>
      </w:r>
      <w:r w:rsidR="00FE6985" w:rsidRPr="00720140">
        <w:t xml:space="preserve"> </w:t>
      </w:r>
      <w:r w:rsidR="007032D4" w:rsidRPr="00720140">
        <w:t>within</w:t>
      </w:r>
      <w:r w:rsidR="00FE6985" w:rsidRPr="00720140">
        <w:t xml:space="preserve"> </w:t>
      </w:r>
      <w:r w:rsidR="00C33E12" w:rsidRPr="00720140">
        <w:t>“universal human experience” (</w:t>
      </w:r>
      <w:r w:rsidR="00FB6358" w:rsidRPr="00720140">
        <w:t>Lewi</w:t>
      </w:r>
      <w:r w:rsidR="00E47525" w:rsidRPr="00720140">
        <w:t>e</w:t>
      </w:r>
      <w:r w:rsidR="00FB6358" w:rsidRPr="00720140">
        <w:t>cki</w:t>
      </w:r>
      <w:r w:rsidR="00C33E12" w:rsidRPr="00720140">
        <w:t>-Wilson &amp;</w:t>
      </w:r>
      <w:r w:rsidR="00E47525" w:rsidRPr="00720140">
        <w:t xml:space="preserve"> </w:t>
      </w:r>
      <w:r w:rsidR="00C33E12" w:rsidRPr="00720140">
        <w:t>Brueggemann, 2007, p. 1).</w:t>
      </w:r>
      <w:r w:rsidR="00D51364" w:rsidRPr="00720140">
        <w:t xml:space="preserve"> </w:t>
      </w:r>
      <w:r w:rsidR="007F5B6E" w:rsidRPr="00720140">
        <w:t>D</w:t>
      </w:r>
      <w:r w:rsidR="00D51364" w:rsidRPr="00720140">
        <w:t>isability itself resists a single place, primarily because</w:t>
      </w:r>
      <w:r w:rsidR="00216372" w:rsidRPr="00720140">
        <w:t xml:space="preserve"> disabled embodiments</w:t>
      </w:r>
      <w:r w:rsidR="00D51364" w:rsidRPr="00720140">
        <w:t xml:space="preserve"> </w:t>
      </w:r>
      <w:r w:rsidR="00216372" w:rsidRPr="00720140">
        <w:t>express complex support and access needs that</w:t>
      </w:r>
      <w:r w:rsidR="00D51364" w:rsidRPr="00720140">
        <w:t xml:space="preserve"> </w:t>
      </w:r>
      <w:r w:rsidR="00216372" w:rsidRPr="00720140">
        <w:t xml:space="preserve">refuse bureaucratic demands </w:t>
      </w:r>
      <w:r w:rsidR="005919D3" w:rsidRPr="00720140">
        <w:t>and their corresponding</w:t>
      </w:r>
      <w:r w:rsidR="00216372" w:rsidRPr="00720140">
        <w:t xml:space="preserve"> boxes</w:t>
      </w:r>
      <w:r w:rsidR="006362C1" w:rsidRPr="00720140">
        <w:t>.</w:t>
      </w:r>
      <w:r w:rsidR="00B70CBE" w:rsidRPr="00720140">
        <w:t xml:space="preserve"> </w:t>
      </w:r>
      <w:r w:rsidR="006E78D7" w:rsidRPr="00720140">
        <w:t>These bureaucratic boxes disregard an additional complexifying, namely that, w</w:t>
      </w:r>
      <w:r w:rsidR="002D5D1E" w:rsidRPr="00720140">
        <w:t xml:space="preserve">ithin </w:t>
      </w:r>
      <w:r w:rsidR="005919D3" w:rsidRPr="00720140">
        <w:t>the university,</w:t>
      </w:r>
      <w:r w:rsidR="00D51364" w:rsidRPr="00720140">
        <w:t xml:space="preserve"> th</w:t>
      </w:r>
      <w:r w:rsidR="006E78D7" w:rsidRPr="00720140">
        <w:t>e features</w:t>
      </w:r>
      <w:r w:rsidR="00D51364" w:rsidRPr="00720140">
        <w:t xml:space="preserve"> which</w:t>
      </w:r>
      <w:r w:rsidR="00B70CBE" w:rsidRPr="00720140">
        <w:t xml:space="preserve"> make a</w:t>
      </w:r>
      <w:r w:rsidR="005919D3" w:rsidRPr="00720140">
        <w:t xml:space="preserve"> learning</w:t>
      </w:r>
      <w:r w:rsidR="00B70CBE" w:rsidRPr="00720140">
        <w:t xml:space="preserve"> environment accessible to one </w:t>
      </w:r>
      <w:r w:rsidR="002D5D1E" w:rsidRPr="00720140">
        <w:t xml:space="preserve">learner </w:t>
      </w:r>
      <w:r w:rsidR="003D2347" w:rsidRPr="00720140">
        <w:t xml:space="preserve">or multiple learners </w:t>
      </w:r>
      <w:r w:rsidR="00B70CBE" w:rsidRPr="00720140">
        <w:t xml:space="preserve">might </w:t>
      </w:r>
      <w:r w:rsidR="00D51364" w:rsidRPr="00720140">
        <w:t xml:space="preserve">very well </w:t>
      </w:r>
      <w:r w:rsidR="00B70CBE" w:rsidRPr="00720140">
        <w:t xml:space="preserve">create accessibility barriers for </w:t>
      </w:r>
      <w:r w:rsidR="002D5D1E" w:rsidRPr="00720140">
        <w:t>another learner</w:t>
      </w:r>
      <w:r w:rsidR="005919D3" w:rsidRPr="00720140">
        <w:t>, for</w:t>
      </w:r>
      <w:r w:rsidR="003D2347" w:rsidRPr="00720140">
        <w:t xml:space="preserve"> multiple other learners</w:t>
      </w:r>
      <w:r w:rsidR="002D5D1E" w:rsidRPr="00720140">
        <w:t xml:space="preserve">, </w:t>
      </w:r>
      <w:r w:rsidR="003D2347" w:rsidRPr="00720140">
        <w:t>and for</w:t>
      </w:r>
      <w:r w:rsidR="002D5D1E" w:rsidRPr="00720140">
        <w:t xml:space="preserve"> the teacher</w:t>
      </w:r>
      <w:r w:rsidR="00B70CBE" w:rsidRPr="00720140">
        <w:t>.</w:t>
      </w:r>
      <w:r w:rsidR="006E78D7" w:rsidRPr="00720140">
        <w:t xml:space="preserve"> </w:t>
      </w:r>
      <w:r w:rsidR="003D2347" w:rsidRPr="00720140">
        <w:t xml:space="preserve">UDL and Disability Studies </w:t>
      </w:r>
      <w:r w:rsidR="002D5D1E" w:rsidRPr="00720140">
        <w:t>call attention</w:t>
      </w:r>
      <w:r w:rsidR="00C21131" w:rsidRPr="00720140">
        <w:t xml:space="preserve"> in different ways</w:t>
      </w:r>
      <w:r w:rsidR="002D5D1E" w:rsidRPr="00720140">
        <w:t xml:space="preserve"> to the </w:t>
      </w:r>
      <w:r w:rsidR="00C21131" w:rsidRPr="00720140">
        <w:t xml:space="preserve">fictions of </w:t>
      </w:r>
      <w:r w:rsidR="002D5D1E" w:rsidRPr="00720140">
        <w:t>normativity embedded within standard</w:t>
      </w:r>
      <w:r w:rsidR="00216372" w:rsidRPr="00720140">
        <w:t>, and standardized</w:t>
      </w:r>
      <w:r w:rsidR="001F1176" w:rsidRPr="00720140">
        <w:t xml:space="preserve"> </w:t>
      </w:r>
      <w:r w:rsidR="002D5D1E" w:rsidRPr="00720140">
        <w:t>curricular design</w:t>
      </w:r>
      <w:r w:rsidR="00C21131" w:rsidRPr="00720140">
        <w:t>s</w:t>
      </w:r>
      <w:r w:rsidR="002D5D1E" w:rsidRPr="00720140">
        <w:t xml:space="preserve"> and pedagogical methods</w:t>
      </w:r>
      <w:r w:rsidR="00D51364" w:rsidRPr="00720140">
        <w:t>.</w:t>
      </w:r>
      <w:r w:rsidR="003D2347" w:rsidRPr="00720140">
        <w:t xml:space="preserve"> Whereas the imagined endpoint of access in UDL is universal access, however, Disability Studies </w:t>
      </w:r>
      <w:r w:rsidR="00D74807" w:rsidRPr="00720140">
        <w:t xml:space="preserve">identifies </w:t>
      </w:r>
      <w:r w:rsidR="00C21131" w:rsidRPr="00720140">
        <w:t xml:space="preserve">access needs as an unanswered </w:t>
      </w:r>
      <w:r w:rsidR="00D74807" w:rsidRPr="00720140">
        <w:t xml:space="preserve">series of </w:t>
      </w:r>
      <w:r w:rsidR="00C21131" w:rsidRPr="00720140">
        <w:t>question,</w:t>
      </w:r>
      <w:r w:rsidR="003D2347" w:rsidRPr="00720140">
        <w:t xml:space="preserve"> </w:t>
      </w:r>
      <w:r w:rsidR="00012AA1" w:rsidRPr="00720140">
        <w:t>thereby emphasizing disability’s</w:t>
      </w:r>
      <w:r w:rsidR="003D2347" w:rsidRPr="00720140">
        <w:t xml:space="preserve"> </w:t>
      </w:r>
      <w:r w:rsidR="00C21131" w:rsidRPr="00720140">
        <w:t xml:space="preserve">shifting </w:t>
      </w:r>
      <w:r w:rsidR="003D2347" w:rsidRPr="00720140">
        <w:t xml:space="preserve">possibilities </w:t>
      </w:r>
      <w:r w:rsidR="00C21131" w:rsidRPr="00720140">
        <w:t>and impossibilities, its navigation of the</w:t>
      </w:r>
      <w:r w:rsidR="003D2347" w:rsidRPr="00720140">
        <w:t xml:space="preserve"> complex, the conflictual, and the ambiguous</w:t>
      </w:r>
      <w:r w:rsidR="00216372" w:rsidRPr="00720140">
        <w:t>.</w:t>
      </w:r>
    </w:p>
    <w:p w14:paraId="5FDE9ADA" w14:textId="0D32452A" w:rsidR="00804831" w:rsidRPr="00720140" w:rsidRDefault="002D5D1E" w:rsidP="00804831">
      <w:r w:rsidRPr="00720140">
        <w:t xml:space="preserve">To reduce the </w:t>
      </w:r>
      <w:r w:rsidR="00C21131" w:rsidRPr="00720140">
        <w:t xml:space="preserve">access </w:t>
      </w:r>
      <w:r w:rsidRPr="00720140">
        <w:t xml:space="preserve">barriers that Peirce’s </w:t>
      </w:r>
      <w:r w:rsidR="00C21131" w:rsidRPr="00720140">
        <w:t>philosophical virtuosity</w:t>
      </w:r>
      <w:r w:rsidRPr="00720140">
        <w:t xml:space="preserve"> </w:t>
      </w:r>
      <w:r w:rsidR="00C21131" w:rsidRPr="00720140">
        <w:t xml:space="preserve">often </w:t>
      </w:r>
      <w:r w:rsidRPr="00720140">
        <w:t>create</w:t>
      </w:r>
      <w:r w:rsidR="00C21131" w:rsidRPr="00720140">
        <w:t>s</w:t>
      </w:r>
      <w:r w:rsidRPr="00720140">
        <w:t xml:space="preserve">, I stay within the realm of general </w:t>
      </w:r>
      <w:r w:rsidR="00D559BC" w:rsidRPr="00720140">
        <w:t>rather than comprehensive definition. W</w:t>
      </w:r>
      <w:r w:rsidRPr="00720140">
        <w:t xml:space="preserve">ithout </w:t>
      </w:r>
      <w:r w:rsidR="00821B6F" w:rsidRPr="00720140">
        <w:t>taking apart</w:t>
      </w:r>
      <w:r w:rsidR="00D559BC" w:rsidRPr="00720140">
        <w:t xml:space="preserve"> pragmaticism’s </w:t>
      </w:r>
      <w:r w:rsidRPr="00720140">
        <w:t xml:space="preserve">ontological </w:t>
      </w:r>
      <w:r w:rsidR="00D559BC" w:rsidRPr="00720140">
        <w:t>and epistemological complex inner circuits,</w:t>
      </w:r>
      <w:r w:rsidRPr="00720140" w:rsidDel="002D5D1E">
        <w:t xml:space="preserve"> </w:t>
      </w:r>
      <w:r w:rsidR="00D559BC" w:rsidRPr="00720140">
        <w:t>m</w:t>
      </w:r>
      <w:r w:rsidR="00665F84" w:rsidRPr="00720140">
        <w:t xml:space="preserve">y focus will be on how </w:t>
      </w:r>
      <w:r w:rsidR="0061324E" w:rsidRPr="00720140">
        <w:t xml:space="preserve">phaneroscopy, </w:t>
      </w:r>
      <w:r w:rsidR="00665F84" w:rsidRPr="00720140">
        <w:t xml:space="preserve">and </w:t>
      </w:r>
      <w:r w:rsidR="0061324E" w:rsidRPr="00720140">
        <w:t>semiotic</w:t>
      </w:r>
      <w:r w:rsidR="00036A62" w:rsidRPr="00720140">
        <w:t>s</w:t>
      </w:r>
      <w:r w:rsidR="00665F84" w:rsidRPr="00720140">
        <w:t xml:space="preserve"> </w:t>
      </w:r>
      <w:r w:rsidR="00036A62" w:rsidRPr="00720140">
        <w:t xml:space="preserve">impart experiential contact points for </w:t>
      </w:r>
      <w:r w:rsidR="000D6C12" w:rsidRPr="00720140">
        <w:t xml:space="preserve">the </w:t>
      </w:r>
      <w:r w:rsidR="00036A62" w:rsidRPr="00720140">
        <w:t xml:space="preserve">UDL’s </w:t>
      </w:r>
      <w:r w:rsidR="000D6C12" w:rsidRPr="00720140">
        <w:t>G</w:t>
      </w:r>
      <w:r w:rsidR="00036A62" w:rsidRPr="00720140">
        <w:t>uidelines</w:t>
      </w:r>
      <w:r w:rsidR="00665F84" w:rsidRPr="00720140">
        <w:t>.</w:t>
      </w:r>
      <w:r w:rsidR="00804831" w:rsidRPr="00720140">
        <w:t xml:space="preserve"> </w:t>
      </w:r>
      <w:r w:rsidRPr="00720140">
        <w:t xml:space="preserve">As I demonstrate, Peirce’s </w:t>
      </w:r>
      <w:r w:rsidR="00804831" w:rsidRPr="00720140">
        <w:t xml:space="preserve">phaneroscopic categories allow us to mark </w:t>
      </w:r>
      <w:r w:rsidR="00036A62" w:rsidRPr="00720140">
        <w:t>UDL’s</w:t>
      </w:r>
      <w:r w:rsidR="00804831" w:rsidRPr="00720140">
        <w:t xml:space="preserve"> starting points</w:t>
      </w:r>
      <w:r w:rsidRPr="00720140">
        <w:t xml:space="preserve"> of teaching and learning</w:t>
      </w:r>
      <w:r w:rsidR="00036A62" w:rsidRPr="00720140">
        <w:t xml:space="preserve"> (Dolmage, 2015 &amp; 2017)</w:t>
      </w:r>
      <w:r w:rsidRPr="00720140">
        <w:t>, while his semiotic</w:t>
      </w:r>
      <w:r w:rsidR="00036A62" w:rsidRPr="00720140">
        <w:t xml:space="preserve">s leads us forward by offering </w:t>
      </w:r>
      <w:r w:rsidR="000D6C12" w:rsidRPr="00720140">
        <w:t>many</w:t>
      </w:r>
      <w:r w:rsidR="00036A62" w:rsidRPr="00720140">
        <w:t xml:space="preserve"> </w:t>
      </w:r>
      <w:r w:rsidR="00036A62" w:rsidRPr="00720140">
        <w:rPr>
          <w:i/>
          <w:iCs/>
        </w:rPr>
        <w:t>places to continue</w:t>
      </w:r>
      <w:r w:rsidR="00804831" w:rsidRPr="00720140">
        <w:t>.</w:t>
      </w:r>
      <w:r w:rsidR="0061324E" w:rsidRPr="00720140">
        <w:t xml:space="preserve"> It is worth noting here that Peirce’s pragmaticism presupposes ultimate agreement on a given </w:t>
      </w:r>
      <w:r w:rsidR="00821B6F" w:rsidRPr="00720140">
        <w:t xml:space="preserve">dispute over meaning, an end-point regarded </w:t>
      </w:r>
      <w:r w:rsidR="00036A62" w:rsidRPr="00720140">
        <w:t>as not only</w:t>
      </w:r>
      <w:r w:rsidR="0061324E" w:rsidRPr="00720140">
        <w:t xml:space="preserve"> possible</w:t>
      </w:r>
      <w:r w:rsidR="00036A62" w:rsidRPr="00720140">
        <w:t xml:space="preserve"> but desirable and necessary.</w:t>
      </w:r>
      <w:r w:rsidR="0061324E" w:rsidRPr="00720140">
        <w:t xml:space="preserve"> </w:t>
      </w:r>
      <w:r w:rsidR="00036A62" w:rsidRPr="00720140">
        <w:t>In</w:t>
      </w:r>
      <w:r w:rsidR="0061324E" w:rsidRPr="00720140">
        <w:t xml:space="preserve"> this respect, </w:t>
      </w:r>
      <w:r w:rsidR="00036A62" w:rsidRPr="00720140">
        <w:t xml:space="preserve">his philosophical ambitions </w:t>
      </w:r>
      <w:r w:rsidR="0061324E" w:rsidRPr="00720140">
        <w:t xml:space="preserve">align with the curricular and pedagogical </w:t>
      </w:r>
      <w:r w:rsidR="00036A62" w:rsidRPr="00720140">
        <w:t xml:space="preserve">ones </w:t>
      </w:r>
      <w:r w:rsidR="0061324E" w:rsidRPr="00720140">
        <w:t xml:space="preserve">of UDL </w:t>
      </w:r>
      <w:r w:rsidR="00036A62" w:rsidRPr="00720140">
        <w:t xml:space="preserve">which likewise presuppose that ultimate agreement </w:t>
      </w:r>
      <w:r w:rsidR="00821B6F" w:rsidRPr="00720140">
        <w:t>as to the benefits</w:t>
      </w:r>
      <w:r w:rsidR="00036A62" w:rsidRPr="00720140">
        <w:t xml:space="preserve"> of universal access is to be sought</w:t>
      </w:r>
      <w:r w:rsidR="00E0011B" w:rsidRPr="00720140">
        <w:t xml:space="preserve"> (Story et al., 1998)</w:t>
      </w:r>
      <w:r w:rsidR="0061324E" w:rsidRPr="00720140">
        <w:t>.</w:t>
      </w:r>
      <w:r w:rsidR="00216372" w:rsidRPr="00720140">
        <w:t xml:space="preserve"> </w:t>
      </w:r>
      <w:r w:rsidR="00036A62" w:rsidRPr="00720140">
        <w:t>M</w:t>
      </w:r>
      <w:r w:rsidR="00216372" w:rsidRPr="00720140">
        <w:t xml:space="preserve">y </w:t>
      </w:r>
      <w:r w:rsidR="00036A62" w:rsidRPr="00720140">
        <w:t xml:space="preserve">own </w:t>
      </w:r>
      <w:r w:rsidR="00216372" w:rsidRPr="00720140">
        <w:t>interest</w:t>
      </w:r>
      <w:r w:rsidR="00036A62" w:rsidRPr="00720140">
        <w:t xml:space="preserve"> goes in a different </w:t>
      </w:r>
      <w:r w:rsidR="00036A62" w:rsidRPr="00720140">
        <w:lastRenderedPageBreak/>
        <w:t>direction, asking about</w:t>
      </w:r>
      <w:r w:rsidR="00216372" w:rsidRPr="00720140">
        <w:t xml:space="preserve"> the </w:t>
      </w:r>
      <w:r w:rsidR="00216372" w:rsidRPr="00720140">
        <w:rPr>
          <w:i/>
          <w:iCs/>
        </w:rPr>
        <w:t xml:space="preserve">signs of </w:t>
      </w:r>
      <w:r w:rsidR="00036A62" w:rsidRPr="00720140">
        <w:rPr>
          <w:i/>
          <w:iCs/>
        </w:rPr>
        <w:t>(</w:t>
      </w:r>
      <w:r w:rsidR="00216372" w:rsidRPr="00720140">
        <w:rPr>
          <w:i/>
          <w:iCs/>
        </w:rPr>
        <w:t>im</w:t>
      </w:r>
      <w:r w:rsidR="00036A62" w:rsidRPr="00720140">
        <w:rPr>
          <w:i/>
          <w:iCs/>
        </w:rPr>
        <w:t>)</w:t>
      </w:r>
      <w:r w:rsidR="00216372" w:rsidRPr="00720140">
        <w:rPr>
          <w:i/>
          <w:iCs/>
        </w:rPr>
        <w:t>possibility</w:t>
      </w:r>
      <w:r w:rsidR="00216372" w:rsidRPr="00720140">
        <w:t xml:space="preserve"> that encourage us to think of limits, edges, borders, and barriers as </w:t>
      </w:r>
      <w:r w:rsidR="00036A62" w:rsidRPr="00720140">
        <w:t xml:space="preserve">both starting points of inquiry, and, crucially, as </w:t>
      </w:r>
      <w:r w:rsidR="00036A62" w:rsidRPr="00720140">
        <w:rPr>
          <w:i/>
          <w:iCs/>
        </w:rPr>
        <w:t>places to continue</w:t>
      </w:r>
      <w:r w:rsidR="00036A62" w:rsidRPr="00720140">
        <w:t>, in virtue of their amenability to</w:t>
      </w:r>
      <w:r w:rsidR="00216372" w:rsidRPr="00720140">
        <w:t xml:space="preserve"> phaneroscopic description and semiotic interpretation.</w:t>
      </w:r>
    </w:p>
    <w:p w14:paraId="470CE58B" w14:textId="1D40D0AE" w:rsidR="003A441E" w:rsidRPr="00720140" w:rsidRDefault="0061324E" w:rsidP="00A972F9">
      <w:pPr>
        <w:snapToGrid w:val="0"/>
      </w:pPr>
      <w:r w:rsidRPr="00720140">
        <w:t>Among</w:t>
      </w:r>
      <w:r w:rsidR="0025375B" w:rsidRPr="00720140">
        <w:t xml:space="preserve"> the arguments often advanced in favor of UDL is that </w:t>
      </w:r>
      <w:r w:rsidR="0042205B" w:rsidRPr="00720140">
        <w:t>its principles and practices</w:t>
      </w:r>
      <w:r w:rsidR="0025375B" w:rsidRPr="00720140">
        <w:t xml:space="preserve"> go beyond providing </w:t>
      </w:r>
      <w:r w:rsidR="0042205B" w:rsidRPr="00720140">
        <w:t>access</w:t>
      </w:r>
      <w:r w:rsidR="0025375B" w:rsidRPr="00720140">
        <w:t xml:space="preserve"> only for disabled learners</w:t>
      </w:r>
      <w:r w:rsidR="00591B3F" w:rsidRPr="00720140">
        <w:t>,</w:t>
      </w:r>
      <w:r w:rsidR="0025375B" w:rsidRPr="00720140">
        <w:t xml:space="preserve"> instead benefit</w:t>
      </w:r>
      <w:r w:rsidR="0042205B" w:rsidRPr="00720140">
        <w:t>ting</w:t>
      </w:r>
      <w:r w:rsidR="0025375B" w:rsidRPr="00720140">
        <w:t xml:space="preserve"> </w:t>
      </w:r>
      <w:r w:rsidR="0025375B" w:rsidRPr="00720140">
        <w:rPr>
          <w:i/>
          <w:iCs/>
        </w:rPr>
        <w:t>all</w:t>
      </w:r>
      <w:r w:rsidR="0025375B" w:rsidRPr="00720140">
        <w:t xml:space="preserve"> learners. The </w:t>
      </w:r>
      <w:r w:rsidR="005D1EFF" w:rsidRPr="00720140">
        <w:t>rejoinder</w:t>
      </w:r>
      <w:r w:rsidR="0025375B" w:rsidRPr="00720140">
        <w:t xml:space="preserve"> is that </w:t>
      </w:r>
      <w:r w:rsidR="0042205B" w:rsidRPr="00720140">
        <w:t>to proceed in this fashion, and to cling to this desired outcome is to</w:t>
      </w:r>
      <w:r w:rsidR="0025375B" w:rsidRPr="00720140">
        <w:t xml:space="preserve"> risk erasing </w:t>
      </w:r>
      <w:r w:rsidR="0042205B" w:rsidRPr="00720140">
        <w:t xml:space="preserve">the complex, shifting, and unpredictable access needs of </w:t>
      </w:r>
      <w:r w:rsidR="0025375B" w:rsidRPr="00720140">
        <w:t>disabled learners</w:t>
      </w:r>
      <w:r w:rsidR="005D1EFF" w:rsidRPr="00720140">
        <w:t xml:space="preserve">, </w:t>
      </w:r>
      <w:r w:rsidR="0042205B" w:rsidRPr="00720140">
        <w:t xml:space="preserve">and </w:t>
      </w:r>
      <w:r w:rsidR="005D1EFF" w:rsidRPr="00720140">
        <w:t>disabled educators</w:t>
      </w:r>
      <w:r w:rsidR="0042205B" w:rsidRPr="00720140">
        <w:t xml:space="preserve"> in the university</w:t>
      </w:r>
      <w:r w:rsidR="005D1EFF" w:rsidRPr="00720140">
        <w:t>.</w:t>
      </w:r>
      <w:r w:rsidR="0025375B" w:rsidRPr="00720140">
        <w:t xml:space="preserve"> </w:t>
      </w:r>
      <w:r w:rsidR="005D1EFF" w:rsidRPr="00720140">
        <w:t xml:space="preserve">This is </w:t>
      </w:r>
      <w:r w:rsidR="0042205B" w:rsidRPr="00720140">
        <w:t>of particular concern</w:t>
      </w:r>
      <w:r w:rsidR="0025375B" w:rsidRPr="00720140">
        <w:t xml:space="preserve"> given UDL’s </w:t>
      </w:r>
      <w:r w:rsidR="00821B6F" w:rsidRPr="00720140">
        <w:t>valuable presence</w:t>
      </w:r>
      <w:r w:rsidR="0025375B" w:rsidRPr="00720140">
        <w:t xml:space="preserve"> as an alternative to the</w:t>
      </w:r>
      <w:r w:rsidR="005D1EFF" w:rsidRPr="00720140">
        <w:t xml:space="preserve"> </w:t>
      </w:r>
      <w:r w:rsidR="0025375B" w:rsidRPr="00720140">
        <w:t xml:space="preserve">accommodations-based models </w:t>
      </w:r>
      <w:r w:rsidR="005D1EFF" w:rsidRPr="00720140">
        <w:t>that continue to hold sway</w:t>
      </w:r>
      <w:r w:rsidR="0042205B" w:rsidRPr="00720140">
        <w:t xml:space="preserve"> within higher education</w:t>
      </w:r>
      <w:r w:rsidR="005D1EFF" w:rsidRPr="00720140">
        <w:t xml:space="preserve"> </w:t>
      </w:r>
      <w:r w:rsidR="0025375B" w:rsidRPr="00720140">
        <w:t xml:space="preserve">(Dolmage, 2017). </w:t>
      </w:r>
      <w:r w:rsidR="00316AE6" w:rsidRPr="00720140">
        <w:t xml:space="preserve">Considered from a Disability Studies perspective, </w:t>
      </w:r>
      <w:r w:rsidR="003A441E" w:rsidRPr="00720140">
        <w:t>U</w:t>
      </w:r>
      <w:r w:rsidR="00A41DFF" w:rsidRPr="00720140">
        <w:t>D</w:t>
      </w:r>
      <w:r w:rsidR="00316AE6" w:rsidRPr="00720140">
        <w:t>L</w:t>
      </w:r>
      <w:r w:rsidR="003A441E" w:rsidRPr="00720140">
        <w:t xml:space="preserve"> </w:t>
      </w:r>
      <w:r w:rsidR="0042205B" w:rsidRPr="00720140">
        <w:t xml:space="preserve">charts a promising course in </w:t>
      </w:r>
      <w:r w:rsidR="003A441E" w:rsidRPr="00720140">
        <w:t>center</w:t>
      </w:r>
      <w:r w:rsidR="0042205B" w:rsidRPr="00720140">
        <w:t>ing</w:t>
      </w:r>
      <w:r w:rsidR="003A441E" w:rsidRPr="00720140">
        <w:t xml:space="preserve"> the social model of </w:t>
      </w:r>
      <w:r w:rsidR="00821B6F" w:rsidRPr="00720140">
        <w:t>disability and</w:t>
      </w:r>
      <w:r w:rsidR="005D1EFF" w:rsidRPr="00720140">
        <w:t xml:space="preserve"> helps to bring access barriers to </w:t>
      </w:r>
      <w:r w:rsidR="0042205B" w:rsidRPr="00720140">
        <w:t>ever widening circles of public</w:t>
      </w:r>
      <w:r w:rsidR="005D1EFF" w:rsidRPr="00720140">
        <w:t xml:space="preserve"> </w:t>
      </w:r>
      <w:r w:rsidR="0042205B" w:rsidRPr="00720140">
        <w:t>awareness</w:t>
      </w:r>
      <w:r w:rsidR="003A441E" w:rsidRPr="00720140">
        <w:t>.</w:t>
      </w:r>
      <w:r w:rsidR="003A441E" w:rsidRPr="00720140" w:rsidDel="00665021">
        <w:t xml:space="preserve"> </w:t>
      </w:r>
      <w:r w:rsidR="003A441E" w:rsidRPr="00720140">
        <w:t>A recurring problem in the literature on UDL, however, is the dilutive phrase “regardless of disability or learning preference</w:t>
      </w:r>
      <w:r w:rsidR="00A81AF0" w:rsidRPr="00720140">
        <w:t>,</w:t>
      </w:r>
      <w:r w:rsidR="003A441E" w:rsidRPr="00720140">
        <w:t xml:space="preserve">” </w:t>
      </w:r>
      <w:r w:rsidR="0042205B" w:rsidRPr="00720140">
        <w:t>(Webb &amp; Hoover, 2015)</w:t>
      </w:r>
      <w:r w:rsidR="00D51364" w:rsidRPr="00720140">
        <w:t>.</w:t>
      </w:r>
      <w:r w:rsidR="003A441E" w:rsidRPr="00720140">
        <w:t xml:space="preserve"> </w:t>
      </w:r>
      <w:r w:rsidR="004B277A" w:rsidRPr="00720140">
        <w:t xml:space="preserve">Variations on this rhetorical </w:t>
      </w:r>
      <w:r w:rsidR="00821B6F" w:rsidRPr="00720140">
        <w:t xml:space="preserve">“regardless” </w:t>
      </w:r>
      <w:r w:rsidR="004B277A" w:rsidRPr="00720140">
        <w:t>laud</w:t>
      </w:r>
      <w:r w:rsidR="003A441E" w:rsidRPr="00720140">
        <w:t xml:space="preserve"> UDL for a flexibility that includes </w:t>
      </w:r>
      <w:r w:rsidR="002A2641" w:rsidRPr="00720140">
        <w:t>accessible educational materials</w:t>
      </w:r>
      <w:r w:rsidR="004B277A" w:rsidRPr="00720140">
        <w:t xml:space="preserve"> within its purview</w:t>
      </w:r>
      <w:r w:rsidR="003A441E" w:rsidRPr="00720140">
        <w:t xml:space="preserve">. Again, however, </w:t>
      </w:r>
      <w:r w:rsidR="004B277A" w:rsidRPr="00720140">
        <w:t xml:space="preserve">this rhetoric and its variations </w:t>
      </w:r>
      <w:r w:rsidR="002A2641" w:rsidRPr="00720140">
        <w:t xml:space="preserve">ultimately </w:t>
      </w:r>
      <w:r w:rsidR="00551BE4" w:rsidRPr="00720140">
        <w:t xml:space="preserve">fail to </w:t>
      </w:r>
      <w:r w:rsidR="00821B6F" w:rsidRPr="00720140">
        <w:t>redirect</w:t>
      </w:r>
      <w:r w:rsidR="00551BE4" w:rsidRPr="00720140">
        <w:t xml:space="preserve"> the oppressive educational habits that</w:t>
      </w:r>
      <w:r w:rsidR="003A441E" w:rsidRPr="00720140">
        <w:t xml:space="preserve"> marginalize disabled learners</w:t>
      </w:r>
      <w:r w:rsidR="002A2641" w:rsidRPr="00720140">
        <w:t xml:space="preserve"> </w:t>
      </w:r>
      <w:r w:rsidR="000F42D4" w:rsidRPr="00720140">
        <w:t xml:space="preserve">and teachers </w:t>
      </w:r>
      <w:r w:rsidR="002A2641" w:rsidRPr="00720140">
        <w:t xml:space="preserve">in the first place. As a result, the discursive representation of UDL </w:t>
      </w:r>
      <w:r w:rsidR="000F42D4" w:rsidRPr="00720140">
        <w:t xml:space="preserve">reduces </w:t>
      </w:r>
      <w:r w:rsidR="00BE78A4" w:rsidRPr="00720140">
        <w:t xml:space="preserve">disabled embodiment </w:t>
      </w:r>
      <w:r w:rsidR="008521DC" w:rsidRPr="00720140">
        <w:t>to</w:t>
      </w:r>
      <w:r w:rsidR="004B277A" w:rsidRPr="00720140">
        <w:t xml:space="preserve"> a</w:t>
      </w:r>
      <w:r w:rsidR="002A2641" w:rsidRPr="00720140">
        <w:t xml:space="preserve"> collection</w:t>
      </w:r>
      <w:r w:rsidR="00BE78A4" w:rsidRPr="00720140">
        <w:t xml:space="preserve"> of symptoms </w:t>
      </w:r>
      <w:r w:rsidR="004B277A" w:rsidRPr="00720140">
        <w:t>that disrupt education as usual</w:t>
      </w:r>
      <w:r w:rsidR="0000359B" w:rsidRPr="00720140">
        <w:t>.</w:t>
      </w:r>
    </w:p>
    <w:p w14:paraId="28F1FA42" w14:textId="45B01132" w:rsidR="00240AFB" w:rsidRPr="00720140" w:rsidRDefault="00240AFB" w:rsidP="00A972F9">
      <w:pPr>
        <w:pStyle w:val="Heading1"/>
        <w:snapToGrid w:val="0"/>
        <w:spacing w:after="0"/>
        <w:ind w:firstLine="0"/>
        <w:jc w:val="center"/>
        <w:rPr>
          <w:rFonts w:cs="Times New Roman"/>
          <w:b w:val="0"/>
          <w:bCs w:val="0"/>
          <w:szCs w:val="24"/>
        </w:rPr>
      </w:pPr>
      <w:r w:rsidRPr="00720140">
        <w:rPr>
          <w:rFonts w:cs="Times New Roman"/>
          <w:szCs w:val="24"/>
        </w:rPr>
        <w:t xml:space="preserve">The </w:t>
      </w:r>
      <w:r w:rsidR="00551BE4" w:rsidRPr="00720140">
        <w:rPr>
          <w:rFonts w:cs="Times New Roman"/>
          <w:szCs w:val="24"/>
        </w:rPr>
        <w:t xml:space="preserve">(Im)Possible </w:t>
      </w:r>
      <w:r w:rsidRPr="00720140">
        <w:rPr>
          <w:rFonts w:cs="Times New Roman"/>
          <w:szCs w:val="24"/>
        </w:rPr>
        <w:t>Universality of the Universal</w:t>
      </w:r>
    </w:p>
    <w:p w14:paraId="018E6499" w14:textId="54FB609F" w:rsidR="0040202B" w:rsidRPr="00720140" w:rsidRDefault="00AC65AE" w:rsidP="0040202B">
      <w:r w:rsidRPr="00720140">
        <w:t xml:space="preserve">As suggested earlier, </w:t>
      </w:r>
      <w:r w:rsidR="00077A43" w:rsidRPr="00720140">
        <w:t xml:space="preserve">UDL’s </w:t>
      </w:r>
      <w:r w:rsidR="001E35CD" w:rsidRPr="00720140">
        <w:t>aspiration toward</w:t>
      </w:r>
      <w:r w:rsidR="00BB3B02" w:rsidRPr="00720140">
        <w:t xml:space="preserve"> </w:t>
      </w:r>
      <w:r w:rsidR="00077A43" w:rsidRPr="00720140">
        <w:t>universality</w:t>
      </w:r>
      <w:r w:rsidR="00B70CBE" w:rsidRPr="00720140">
        <w:t xml:space="preserve"> is</w:t>
      </w:r>
      <w:r w:rsidRPr="00720140">
        <w:t xml:space="preserve"> in a strict sense, impossible</w:t>
      </w:r>
      <w:r w:rsidR="00B70CBE" w:rsidRPr="00720140">
        <w:t>.</w:t>
      </w:r>
      <w:r w:rsidR="00C950B0" w:rsidRPr="00720140">
        <w:t xml:space="preserve"> </w:t>
      </w:r>
      <w:r w:rsidR="00821B6F" w:rsidRPr="00720140">
        <w:t>Located as the subject matter for combined phaneroscopic and semiotic inquiry</w:t>
      </w:r>
      <w:r w:rsidR="00077A43" w:rsidRPr="00720140">
        <w:t>, however, t</w:t>
      </w:r>
      <w:r w:rsidR="00C950B0" w:rsidRPr="00720140">
        <w:t xml:space="preserve">he “universal” in UDL </w:t>
      </w:r>
      <w:r w:rsidR="00305F5B" w:rsidRPr="00720140">
        <w:t>becomes</w:t>
      </w:r>
      <w:r w:rsidRPr="00720140">
        <w:t xml:space="preserve"> both an indefinable </w:t>
      </w:r>
      <w:r w:rsidRPr="00720140">
        <w:rPr>
          <w:i/>
          <w:iCs/>
        </w:rPr>
        <w:t xml:space="preserve">something </w:t>
      </w:r>
      <w:r w:rsidRPr="00720140">
        <w:t xml:space="preserve">within all that presents itself to the </w:t>
      </w:r>
      <w:r w:rsidR="00821B6F" w:rsidRPr="00720140">
        <w:t xml:space="preserve">initially </w:t>
      </w:r>
      <w:r w:rsidRPr="00720140">
        <w:t xml:space="preserve">undifferentiated experience of learning, and, through its refraction within our </w:t>
      </w:r>
      <w:r w:rsidRPr="00720140">
        <w:lastRenderedPageBreak/>
        <w:t>interpretive sensibilities,</w:t>
      </w:r>
      <w:r w:rsidR="00305F5B" w:rsidRPr="00720140">
        <w:t xml:space="preserve"> </w:t>
      </w:r>
      <w:r w:rsidR="00C950B0" w:rsidRPr="00720140">
        <w:t>a sign</w:t>
      </w:r>
      <w:r w:rsidR="001E35CD" w:rsidRPr="00720140">
        <w:t xml:space="preserve">, </w:t>
      </w:r>
      <w:r w:rsidR="001E35CD" w:rsidRPr="00720140">
        <w:rPr>
          <w:i/>
          <w:iCs/>
        </w:rPr>
        <w:t>simultaneously</w:t>
      </w:r>
      <w:r w:rsidR="001E35CD" w:rsidRPr="00720140">
        <w:t>,</w:t>
      </w:r>
      <w:r w:rsidR="00C950B0" w:rsidRPr="00720140">
        <w:t xml:space="preserve"> of possibility and impossibility. Th</w:t>
      </w:r>
      <w:r w:rsidR="00B32DE8" w:rsidRPr="00720140">
        <w:t>e implicit</w:t>
      </w:r>
      <w:r w:rsidR="00C950B0" w:rsidRPr="00720140">
        <w:t xml:space="preserve"> </w:t>
      </w:r>
      <w:r w:rsidR="00305F5B" w:rsidRPr="00720140">
        <w:t xml:space="preserve">bivalency </w:t>
      </w:r>
      <w:r w:rsidR="00B32DE8" w:rsidRPr="00720140">
        <w:t>of “universal” can easily solidify into the sorts of dualism</w:t>
      </w:r>
      <w:bookmarkStart w:id="0" w:name="_Hlk59362674"/>
      <w:r w:rsidR="00B32DE8" w:rsidRPr="00720140">
        <w:t>—</w:t>
      </w:r>
      <w:bookmarkEnd w:id="0"/>
      <w:r w:rsidR="00B32DE8" w:rsidRPr="00720140">
        <w:t xml:space="preserve">universality is not </w:t>
      </w:r>
      <w:r w:rsidR="00821B6F" w:rsidRPr="00720140">
        <w:rPr>
          <w:i/>
          <w:iCs/>
        </w:rPr>
        <w:t>either</w:t>
      </w:r>
      <w:r w:rsidR="00821B6F" w:rsidRPr="00720140">
        <w:t xml:space="preserve"> </w:t>
      </w:r>
      <w:r w:rsidR="00B32DE8" w:rsidRPr="00720140">
        <w:t xml:space="preserve">possible </w:t>
      </w:r>
      <w:r w:rsidR="00B32DE8" w:rsidRPr="00720140">
        <w:rPr>
          <w:i/>
          <w:iCs/>
        </w:rPr>
        <w:t xml:space="preserve">or </w:t>
      </w:r>
      <w:r w:rsidR="00B32DE8" w:rsidRPr="00720140">
        <w:t xml:space="preserve">impossibility—upon which pragmaticism casts its disapproving glances. Fortunately, UDL defines its wide embrace in ways that the pragmaticist apparatus </w:t>
      </w:r>
      <w:r w:rsidR="00821B6F" w:rsidRPr="00720140">
        <w:t>permits</w:t>
      </w:r>
      <w:r w:rsidR="00B32DE8" w:rsidRPr="00720140">
        <w:t>, taking “universal” to mean not</w:t>
      </w:r>
      <w:r w:rsidR="0099269E" w:rsidRPr="00720140">
        <w:t>:</w:t>
      </w:r>
      <w:r w:rsidR="00706CF1" w:rsidRPr="00720140">
        <w:t xml:space="preserve"> “‘one size-fits-all’</w:t>
      </w:r>
      <w:r w:rsidR="00B32DE8" w:rsidRPr="00720140">
        <w:t>” but, instead,</w:t>
      </w:r>
      <w:r w:rsidR="00706CF1" w:rsidRPr="00720140">
        <w:t xml:space="preserve"> </w:t>
      </w:r>
      <w:r w:rsidR="00B32DE8" w:rsidRPr="00720140">
        <w:t>“</w:t>
      </w:r>
      <w:r w:rsidR="00706CF1" w:rsidRPr="00720140">
        <w:t>that all learners with all their individual differences have equal and fair access and opportunity to learn the same content in ways that work best for them” (Hall</w:t>
      </w:r>
      <w:r w:rsidR="00432431" w:rsidRPr="00720140">
        <w:t xml:space="preserve"> et al.</w:t>
      </w:r>
      <w:r w:rsidR="00706CF1" w:rsidRPr="00720140">
        <w:t>, 2012, p. 4).</w:t>
      </w:r>
      <w:r w:rsidR="00B32DE8" w:rsidRPr="00720140">
        <w:t xml:space="preserve"> The points of contact between UDL and pragmaticism (comprising phaneroscopy and semiotics) become clearer still when we consider that the latter does not concern itself solely with</w:t>
      </w:r>
      <w:r w:rsidR="00572AC8" w:rsidRPr="00720140">
        <w:t xml:space="preserve"> language</w:t>
      </w:r>
      <w:r w:rsidR="0040202B" w:rsidRPr="00720140">
        <w:t xml:space="preserve"> and its various accoutrements:</w:t>
      </w:r>
      <w:r w:rsidR="00572AC8" w:rsidRPr="00720140">
        <w:t xml:space="preserve"> ideas</w:t>
      </w:r>
      <w:r w:rsidR="0040202B" w:rsidRPr="00720140">
        <w:t>,</w:t>
      </w:r>
      <w:r w:rsidR="00572AC8" w:rsidRPr="00720140">
        <w:t xml:space="preserve"> conceptions</w:t>
      </w:r>
      <w:r w:rsidR="0040202B" w:rsidRPr="00720140">
        <w:t>, and notions,</w:t>
      </w:r>
      <w:r w:rsidR="00572AC8" w:rsidRPr="00720140">
        <w:t xml:space="preserve"> </w:t>
      </w:r>
      <w:r w:rsidR="0040202B" w:rsidRPr="00720140">
        <w:t>all of which constitute</w:t>
      </w:r>
      <w:r w:rsidR="001E35CD" w:rsidRPr="00720140">
        <w:t xml:space="preserve"> </w:t>
      </w:r>
      <w:r w:rsidR="0040202B" w:rsidRPr="00720140">
        <w:t xml:space="preserve">verbal </w:t>
      </w:r>
      <w:r w:rsidR="001E35CD" w:rsidRPr="00720140">
        <w:t>communication</w:t>
      </w:r>
      <w:r w:rsidR="0040202B" w:rsidRPr="00720140">
        <w:t xml:space="preserve"> in its familiar forms.</w:t>
      </w:r>
      <w:r w:rsidR="00C366C5" w:rsidRPr="00720140">
        <w:t xml:space="preserve"> </w:t>
      </w:r>
      <w:r w:rsidR="00821B6F" w:rsidRPr="00720140">
        <w:t xml:space="preserve">Instead, </w:t>
      </w:r>
      <w:r w:rsidR="0040202B" w:rsidRPr="00720140">
        <w:t>Peirce’s semiotics has larger designs, allowing us to understand how</w:t>
      </w:r>
      <w:r w:rsidR="00C366C5" w:rsidRPr="00720140">
        <w:t xml:space="preserve"> signs</w:t>
      </w:r>
      <w:r w:rsidR="00572AC8" w:rsidRPr="00720140">
        <w:t xml:space="preserve"> reach us from within and across a range of experiential domains</w:t>
      </w:r>
      <w:r w:rsidR="0040202B" w:rsidRPr="00720140">
        <w:t xml:space="preserve"> that may, at times</w:t>
      </w:r>
      <w:r w:rsidR="00821B6F" w:rsidRPr="00720140">
        <w:t>,</w:t>
      </w:r>
      <w:r w:rsidR="0040202B" w:rsidRPr="00720140">
        <w:t xml:space="preserve"> defy and frustrate language</w:t>
      </w:r>
      <w:r w:rsidR="00C366C5" w:rsidRPr="00720140">
        <w:t>, and</w:t>
      </w:r>
      <w:r w:rsidR="0040202B" w:rsidRPr="00720140">
        <w:t xml:space="preserve"> to work out</w:t>
      </w:r>
      <w:r w:rsidR="00C366C5" w:rsidRPr="00720140">
        <w:t xml:space="preserve"> the </w:t>
      </w:r>
      <w:r w:rsidR="00572AC8" w:rsidRPr="00720140">
        <w:rPr>
          <w:i/>
          <w:iCs/>
        </w:rPr>
        <w:t>possible</w:t>
      </w:r>
      <w:r w:rsidR="00572AC8" w:rsidRPr="00720140">
        <w:t xml:space="preserve"> </w:t>
      </w:r>
      <w:r w:rsidR="00C366C5" w:rsidRPr="00720140">
        <w:t xml:space="preserve">effects </w:t>
      </w:r>
      <w:r w:rsidR="00572AC8" w:rsidRPr="00720140">
        <w:t>that these signs have on our interactions in the world</w:t>
      </w:r>
      <w:r w:rsidR="004B277A" w:rsidRPr="00720140">
        <w:t xml:space="preserve"> </w:t>
      </w:r>
      <w:r w:rsidR="00C366C5" w:rsidRPr="00720140">
        <w:t>(W</w:t>
      </w:r>
      <w:r w:rsidR="00A972F9" w:rsidRPr="00720140">
        <w:t xml:space="preserve"> </w:t>
      </w:r>
      <w:r w:rsidR="00C366C5" w:rsidRPr="00720140">
        <w:t>3</w:t>
      </w:r>
      <w:r w:rsidR="00A972F9" w:rsidRPr="00720140">
        <w:t>.</w:t>
      </w:r>
      <w:r w:rsidR="00C366C5" w:rsidRPr="00720140">
        <w:t>260).</w:t>
      </w:r>
      <w:r w:rsidR="0040202B" w:rsidRPr="00720140">
        <w:t xml:space="preserve"> Peirce clarifies that linguistic representations attached to words are connected to other realms of experience, allowing a creative dimension to unfold: “a meaning is the association of a word with images, its dream exciting power” (CP 4.56).</w:t>
      </w:r>
    </w:p>
    <w:p w14:paraId="07C9FFA7" w14:textId="3D73703C" w:rsidR="001E0C78" w:rsidRPr="00720140" w:rsidRDefault="00C366C5" w:rsidP="00D0245A">
      <w:r w:rsidRPr="00720140">
        <w:t xml:space="preserve">Peirce’s </w:t>
      </w:r>
      <w:r w:rsidR="001E0C78" w:rsidRPr="00720140">
        <w:t xml:space="preserve">placing </w:t>
      </w:r>
      <w:r w:rsidRPr="00720140">
        <w:t xml:space="preserve">of a </w:t>
      </w:r>
      <w:r w:rsidR="00425395" w:rsidRPr="00720140">
        <w:t>“</w:t>
      </w:r>
      <w:r w:rsidRPr="00720140">
        <w:t>will to learn</w:t>
      </w:r>
      <w:r w:rsidR="0099269E" w:rsidRPr="00720140">
        <w:t>,</w:t>
      </w:r>
      <w:r w:rsidR="00425395" w:rsidRPr="00720140">
        <w:t>”</w:t>
      </w:r>
      <w:r w:rsidR="0099269E" w:rsidRPr="00720140">
        <w:t xml:space="preserve"> </w:t>
      </w:r>
      <w:r w:rsidR="0040202B" w:rsidRPr="00720140">
        <w:t>at the center of education (Nöth, 2018),</w:t>
      </w:r>
      <w:r w:rsidR="00C23C4E" w:rsidRPr="00720140">
        <w:t xml:space="preserve"> recognizes that </w:t>
      </w:r>
      <w:r w:rsidR="0099269E" w:rsidRPr="00720140">
        <w:t>signs active</w:t>
      </w:r>
      <w:r w:rsidR="00C23C4E" w:rsidRPr="00720140">
        <w:t>ly instill, transmit, and refine knowledge. Because</w:t>
      </w:r>
      <w:r w:rsidR="0099269E" w:rsidRPr="00720140">
        <w:t xml:space="preserve"> </w:t>
      </w:r>
      <w:r w:rsidR="00EA4899" w:rsidRPr="00720140">
        <w:t>“signs have the power to move agents and to change their habits</w:t>
      </w:r>
      <w:r w:rsidR="00C23C4E" w:rsidRPr="00720140">
        <w:t>”</w:t>
      </w:r>
      <w:r w:rsidR="00EA4899" w:rsidRPr="00720140">
        <w:t xml:space="preserve"> </w:t>
      </w:r>
      <w:r w:rsidR="00C23C4E" w:rsidRPr="00720140">
        <w:t xml:space="preserve">those whose practices involve teaching and learning constitute </w:t>
      </w:r>
      <w:r w:rsidR="00821B6F" w:rsidRPr="00720140">
        <w:t>teaching</w:t>
      </w:r>
      <w:r w:rsidR="00C23C4E" w:rsidRPr="00720140">
        <w:t xml:space="preserve"> and, retaining Peirce’s emphasis, </w:t>
      </w:r>
      <w:r w:rsidR="00EA4899" w:rsidRPr="00720140">
        <w:t xml:space="preserve">learning </w:t>
      </w:r>
      <w:r w:rsidR="00C23C4E" w:rsidRPr="00720140">
        <w:t>a</w:t>
      </w:r>
      <w:r w:rsidR="00EA4899" w:rsidRPr="00720140">
        <w:t xml:space="preserve">s a </w:t>
      </w:r>
      <w:r w:rsidR="00C23C4E" w:rsidRPr="00720140">
        <w:t>“</w:t>
      </w:r>
      <w:r w:rsidR="00EA4899" w:rsidRPr="00720140">
        <w:t>semiotic process” (Strand, 2013, p.</w:t>
      </w:r>
      <w:r w:rsidR="00BC3043" w:rsidRPr="00720140">
        <w:t xml:space="preserve"> </w:t>
      </w:r>
      <w:r w:rsidR="00EA4899" w:rsidRPr="00720140">
        <w:t>799).</w:t>
      </w:r>
    </w:p>
    <w:p w14:paraId="4207478E" w14:textId="289EA848" w:rsidR="00B22197" w:rsidRPr="00720140" w:rsidRDefault="00C23C4E" w:rsidP="00D0245A">
      <w:r w:rsidRPr="00720140">
        <w:t>As Justin Freedman</w:t>
      </w:r>
      <w:r w:rsidR="009608AF" w:rsidRPr="00720140">
        <w:t xml:space="preserve"> et al.</w:t>
      </w:r>
      <w:r w:rsidRPr="00720140">
        <w:t xml:space="preserve"> </w:t>
      </w:r>
      <w:r w:rsidR="00821B6F" w:rsidRPr="00720140">
        <w:t xml:space="preserve">(2019) </w:t>
      </w:r>
      <w:r w:rsidRPr="00720140">
        <w:t>have noted, “learning about UDL without a theoretical backing could lead teacher candidates to view UDL as just another set of strategies” (</w:t>
      </w:r>
      <w:r w:rsidR="00FA4EE6" w:rsidRPr="00720140">
        <w:t>n.p)</w:t>
      </w:r>
      <w:r w:rsidRPr="00720140">
        <w:t xml:space="preserve">. </w:t>
      </w:r>
      <w:r w:rsidR="00FA4EE6" w:rsidRPr="00720140">
        <w:t xml:space="preserve">To </w:t>
      </w:r>
      <w:r w:rsidR="00FA4EE6" w:rsidRPr="00720140">
        <w:lastRenderedPageBreak/>
        <w:t xml:space="preserve">avoid such misunderstanding of the latter’s avowed purpose, </w:t>
      </w:r>
      <w:r w:rsidR="00C366C5" w:rsidRPr="00720140">
        <w:t>Peirce's pragmati</w:t>
      </w:r>
      <w:r w:rsidR="001E0C78" w:rsidRPr="00720140">
        <w:t>ci</w:t>
      </w:r>
      <w:r w:rsidR="00C366C5" w:rsidRPr="00720140">
        <w:t>sm</w:t>
      </w:r>
      <w:r w:rsidR="00FA4EE6" w:rsidRPr="00720140">
        <w:t>, identified here</w:t>
      </w:r>
      <w:r w:rsidR="00C366C5" w:rsidRPr="00720140">
        <w:t xml:space="preserve"> as an interlocking system comprising </w:t>
      </w:r>
      <w:r w:rsidR="001575B0" w:rsidRPr="00720140">
        <w:t>phaneroscopy and semiotic</w:t>
      </w:r>
      <w:r w:rsidR="00FA4EE6" w:rsidRPr="00720140">
        <w:t>s, would</w:t>
      </w:r>
      <w:r w:rsidR="00C366C5" w:rsidRPr="00720140">
        <w:t xml:space="preserve"> allow teachers and students to ask the kinds of questions about </w:t>
      </w:r>
      <w:r w:rsidR="00FA4EE6" w:rsidRPr="00720140">
        <w:t>education</w:t>
      </w:r>
      <w:r w:rsidR="00C366C5" w:rsidRPr="00720140">
        <w:t xml:space="preserve"> that </w:t>
      </w:r>
      <w:r w:rsidR="00FA4EE6" w:rsidRPr="00720140">
        <w:t>cut across familiar and hierarchical divisions of labor between</w:t>
      </w:r>
      <w:r w:rsidR="00B22197" w:rsidRPr="00720140">
        <w:t xml:space="preserve"> teaching and learning</w:t>
      </w:r>
      <w:r w:rsidR="009608AF" w:rsidRPr="00720140">
        <w:t>. Proceeding in this way, such hierarchies would dissolve, allowing a learning environment to</w:t>
      </w:r>
      <w:r w:rsidR="00B22197" w:rsidRPr="00720140">
        <w:t xml:space="preserve"> </w:t>
      </w:r>
      <w:r w:rsidR="00FA4EE6" w:rsidRPr="00720140">
        <w:t>instead re-emerg</w:t>
      </w:r>
      <w:r w:rsidR="009608AF" w:rsidRPr="00720140">
        <w:t>e</w:t>
      </w:r>
      <w:r w:rsidR="00FA4EE6" w:rsidRPr="00720140">
        <w:t xml:space="preserve"> as a</w:t>
      </w:r>
      <w:r w:rsidR="00B22197" w:rsidRPr="00720140">
        <w:t xml:space="preserve"> unified</w:t>
      </w:r>
      <w:r w:rsidR="00C366C5" w:rsidRPr="00720140">
        <w:t xml:space="preserve"> community of like-minded inquirers motivated by a common cause</w:t>
      </w:r>
      <w:r w:rsidR="00FA4EE6" w:rsidRPr="00720140">
        <w:t>, rather than separated by differentiation of roles</w:t>
      </w:r>
      <w:r w:rsidR="00B22197" w:rsidRPr="00720140">
        <w:t xml:space="preserve">. Here I quote Peirce, noting that, although the original context of his statement is </w:t>
      </w:r>
      <w:r w:rsidR="009608AF" w:rsidRPr="00720140">
        <w:t xml:space="preserve">an elaboration of philosophy’s communal goal of developing and refining a </w:t>
      </w:r>
      <w:r w:rsidR="00B22197" w:rsidRPr="00720140">
        <w:t>“conception of reality,” his understanding of communit</w:t>
      </w:r>
      <w:r w:rsidR="009608AF" w:rsidRPr="00720140">
        <w:t>ies</w:t>
      </w:r>
      <w:r w:rsidR="00B22197" w:rsidRPr="00720140">
        <w:t xml:space="preserve"> is nonetheless pertinent</w:t>
      </w:r>
      <w:r w:rsidR="009608AF" w:rsidRPr="00720140">
        <w:t>. For Peirce, a community, broadly understood, is</w:t>
      </w:r>
      <w:r w:rsidR="00C366C5" w:rsidRPr="00720140">
        <w:t xml:space="preserve"> </w:t>
      </w:r>
      <w:r w:rsidR="009608AF" w:rsidRPr="00720140">
        <w:t>“</w:t>
      </w:r>
      <w:r w:rsidR="00C366C5" w:rsidRPr="00720140">
        <w:t>without definite limits, and capable of a definite increase of knowledge” (Peirce, 1868, p.</w:t>
      </w:r>
      <w:r w:rsidR="004243B4" w:rsidRPr="00720140">
        <w:t xml:space="preserve"> </w:t>
      </w:r>
      <w:r w:rsidR="00C366C5" w:rsidRPr="00720140">
        <w:t>155).</w:t>
      </w:r>
    </w:p>
    <w:p w14:paraId="1A5B2C10" w14:textId="1257D87D" w:rsidR="003E2C3F" w:rsidRPr="00720140" w:rsidRDefault="004A61B4" w:rsidP="00186FEF">
      <w:r w:rsidRPr="00720140">
        <w:t>F</w:t>
      </w:r>
      <w:r w:rsidR="003E2C3F" w:rsidRPr="00720140">
        <w:t>eeling</w:t>
      </w:r>
      <w:r w:rsidR="004243B4" w:rsidRPr="00720140">
        <w:t xml:space="preserve"> (</w:t>
      </w:r>
      <w:r w:rsidR="004243B4" w:rsidRPr="00720140">
        <w:rPr>
          <w:i/>
          <w:iCs/>
        </w:rPr>
        <w:t>Firstness</w:t>
      </w:r>
      <w:r w:rsidR="004243B4" w:rsidRPr="00720140">
        <w:t>)</w:t>
      </w:r>
      <w:r w:rsidRPr="00720140">
        <w:t xml:space="preserve">, </w:t>
      </w:r>
      <w:r w:rsidR="003E2C3F" w:rsidRPr="00720140">
        <w:t>reaction</w:t>
      </w:r>
      <w:r w:rsidR="004243B4" w:rsidRPr="00720140">
        <w:t xml:space="preserve"> (</w:t>
      </w:r>
      <w:r w:rsidR="004243B4" w:rsidRPr="00720140">
        <w:rPr>
          <w:i/>
          <w:iCs/>
        </w:rPr>
        <w:t>Secondness</w:t>
      </w:r>
      <w:r w:rsidR="004243B4" w:rsidRPr="00720140">
        <w:t>),</w:t>
      </w:r>
      <w:r w:rsidRPr="00720140">
        <w:t xml:space="preserve"> and </w:t>
      </w:r>
      <w:r w:rsidR="003E2C3F" w:rsidRPr="00720140">
        <w:t>thinking</w:t>
      </w:r>
      <w:r w:rsidRPr="00720140">
        <w:t xml:space="preserve"> </w:t>
      </w:r>
      <w:r w:rsidR="004243B4" w:rsidRPr="00720140">
        <w:t>(</w:t>
      </w:r>
      <w:r w:rsidR="004243B4" w:rsidRPr="00720140">
        <w:rPr>
          <w:i/>
          <w:iCs/>
        </w:rPr>
        <w:t>Thirdness</w:t>
      </w:r>
      <w:r w:rsidR="004243B4" w:rsidRPr="00720140">
        <w:t xml:space="preserve">) </w:t>
      </w:r>
      <w:r w:rsidRPr="00720140">
        <w:t xml:space="preserve">are useful ways of associating Peirce’s </w:t>
      </w:r>
      <w:r w:rsidR="00FA4EE6" w:rsidRPr="00720140">
        <w:t>phaneroscopic c</w:t>
      </w:r>
      <w:r w:rsidRPr="00720140">
        <w:t xml:space="preserve">ategories with both hypothetical and actual interactions in </w:t>
      </w:r>
      <w:r w:rsidR="004243B4" w:rsidRPr="00720140">
        <w:t>a UDL community</w:t>
      </w:r>
      <w:r w:rsidR="009608AF" w:rsidRPr="00720140">
        <w:t>,</w:t>
      </w:r>
      <w:r w:rsidR="004243B4" w:rsidRPr="00720140">
        <w:t xml:space="preserve"> in which the signs “ability” and “disability” </w:t>
      </w:r>
      <w:r w:rsidR="00B22197" w:rsidRPr="00720140">
        <w:t>are</w:t>
      </w:r>
      <w:r w:rsidR="004243B4" w:rsidRPr="00720140">
        <w:t xml:space="preserve"> philosophically grounded, </w:t>
      </w:r>
      <w:r w:rsidR="00FA4EE6" w:rsidRPr="00720140">
        <w:t>while being allowed the</w:t>
      </w:r>
      <w:r w:rsidR="00E61D1F" w:rsidRPr="00720140">
        <w:t>ir needed</w:t>
      </w:r>
      <w:r w:rsidR="00FA4EE6" w:rsidRPr="00720140">
        <w:t xml:space="preserve"> room to move in varied,</w:t>
      </w:r>
      <w:r w:rsidR="004243B4" w:rsidRPr="00720140">
        <w:t xml:space="preserve"> deeply creative ways</w:t>
      </w:r>
      <w:r w:rsidR="009608AF" w:rsidRPr="00720140">
        <w:t>: outside boxes</w:t>
      </w:r>
      <w:r w:rsidR="00B22197" w:rsidRPr="00720140">
        <w:t>.</w:t>
      </w:r>
      <w:r w:rsidR="004243B4" w:rsidRPr="00720140">
        <w:t xml:space="preserve"> </w:t>
      </w:r>
      <w:r w:rsidR="00FA4EE6" w:rsidRPr="00720140">
        <w:t>T</w:t>
      </w:r>
      <w:r w:rsidR="004243B4" w:rsidRPr="00720140">
        <w:t xml:space="preserve">heir educational possibilities and limits </w:t>
      </w:r>
      <w:r w:rsidR="00FA4EE6" w:rsidRPr="00720140">
        <w:t>unencumbered by bureaucratic demands for expert validation</w:t>
      </w:r>
      <w:r w:rsidR="004243B4" w:rsidRPr="00720140">
        <w:t xml:space="preserve">, </w:t>
      </w:r>
      <w:r w:rsidR="008F1952" w:rsidRPr="00720140">
        <w:t xml:space="preserve">signs of </w:t>
      </w:r>
      <w:r w:rsidR="008F1952" w:rsidRPr="00720140">
        <w:rPr>
          <w:i/>
          <w:iCs/>
        </w:rPr>
        <w:t xml:space="preserve">ability </w:t>
      </w:r>
      <w:r w:rsidR="008F1952" w:rsidRPr="00720140">
        <w:t xml:space="preserve">and </w:t>
      </w:r>
      <w:r w:rsidR="008F1952" w:rsidRPr="00720140">
        <w:rPr>
          <w:i/>
          <w:iCs/>
        </w:rPr>
        <w:t xml:space="preserve">disability, </w:t>
      </w:r>
      <w:r w:rsidR="008F1952" w:rsidRPr="00720140">
        <w:t>their infinite revelations of what is possible</w:t>
      </w:r>
      <w:r w:rsidR="009608AF" w:rsidRPr="00720140">
        <w:t xml:space="preserve"> and</w:t>
      </w:r>
      <w:r w:rsidR="008F1952" w:rsidRPr="00720140">
        <w:t xml:space="preserve"> what is</w:t>
      </w:r>
      <w:r w:rsidR="009608AF" w:rsidRPr="00720140">
        <w:t>, at the moment,</w:t>
      </w:r>
      <w:r w:rsidR="008F1952" w:rsidRPr="00720140">
        <w:t xml:space="preserve"> impossible, allow</w:t>
      </w:r>
      <w:r w:rsidR="004243B4" w:rsidRPr="00720140">
        <w:t xml:space="preserve"> new ways of feeling, reacting, and thinking </w:t>
      </w:r>
      <w:r w:rsidR="008F1952" w:rsidRPr="00720140">
        <w:t>within an</w:t>
      </w:r>
      <w:r w:rsidR="00B22197" w:rsidRPr="00720140">
        <w:t xml:space="preserve"> open community of learners who contribute and participate as</w:t>
      </w:r>
      <w:r w:rsidR="004243B4" w:rsidRPr="00720140">
        <w:t xml:space="preserve"> embodied agents and subjects of meaning</w:t>
      </w:r>
      <w:r w:rsidR="00E0011B" w:rsidRPr="00720140">
        <w:t xml:space="preserve"> (Rogers &amp; Swadener, 2001).</w:t>
      </w:r>
    </w:p>
    <w:p w14:paraId="1C613029" w14:textId="11C51108" w:rsidR="001E7806" w:rsidRPr="00720140" w:rsidRDefault="001E7806" w:rsidP="008632E3">
      <w:pPr>
        <w:pStyle w:val="Heading1"/>
        <w:spacing w:after="0"/>
        <w:ind w:firstLine="0"/>
        <w:rPr>
          <w:rFonts w:cs="Times New Roman"/>
          <w:szCs w:val="24"/>
        </w:rPr>
      </w:pPr>
      <w:r w:rsidRPr="00720140">
        <w:rPr>
          <w:rFonts w:cs="Times New Roman"/>
          <w:szCs w:val="24"/>
        </w:rPr>
        <w:t>Universal Design for Learning as Firstness</w:t>
      </w:r>
      <w:r w:rsidR="00C366C5" w:rsidRPr="00720140">
        <w:rPr>
          <w:rFonts w:cs="Times New Roman"/>
          <w:szCs w:val="24"/>
        </w:rPr>
        <w:t>: Multiple Means of Representation</w:t>
      </w:r>
    </w:p>
    <w:p w14:paraId="79EF54C9" w14:textId="15DB353E" w:rsidR="001E35CD" w:rsidRPr="00720140" w:rsidRDefault="00BA6787" w:rsidP="001E35CD">
      <w:r w:rsidRPr="00720140">
        <w:t>As the literature on UDL emphasizes, a crucial aspect of inclusi</w:t>
      </w:r>
      <w:r w:rsidR="008F1952" w:rsidRPr="00720140">
        <w:t>on</w:t>
      </w:r>
      <w:r w:rsidRPr="00720140">
        <w:t xml:space="preserve"> </w:t>
      </w:r>
      <w:r w:rsidR="008F1952" w:rsidRPr="00720140">
        <w:t>identifies</w:t>
      </w:r>
      <w:r w:rsidRPr="00720140">
        <w:t xml:space="preserve"> </w:t>
      </w:r>
      <w:r w:rsidR="00F12994" w:rsidRPr="00720140">
        <w:rPr>
          <w:i/>
          <w:iCs/>
        </w:rPr>
        <w:t>multiple means of representation</w:t>
      </w:r>
      <w:r w:rsidR="00F12994" w:rsidRPr="00720140">
        <w:t xml:space="preserve"> </w:t>
      </w:r>
      <w:r w:rsidRPr="00720140">
        <w:t>as a pedagogical concern tuned to</w:t>
      </w:r>
      <w:r w:rsidR="00F12994" w:rsidRPr="00720140">
        <w:t xml:space="preserve"> how different learners perceive and </w:t>
      </w:r>
      <w:r w:rsidR="00F12994" w:rsidRPr="00720140">
        <w:lastRenderedPageBreak/>
        <w:t xml:space="preserve">comprehend </w:t>
      </w:r>
      <w:r w:rsidR="00226B21" w:rsidRPr="00720140">
        <w:t>learning materials</w:t>
      </w:r>
      <w:r w:rsidRPr="00720140">
        <w:t xml:space="preserve"> (CAST, 20</w:t>
      </w:r>
      <w:r w:rsidR="00950C86" w:rsidRPr="00720140">
        <w:t>20b</w:t>
      </w:r>
      <w:r w:rsidR="001B314B" w:rsidRPr="00720140">
        <w:t>)</w:t>
      </w:r>
      <w:r w:rsidR="00F12994" w:rsidRPr="00720140">
        <w:t>.</w:t>
      </w:r>
      <w:r w:rsidR="001E35CD" w:rsidRPr="00720140">
        <w:t xml:space="preserve"> </w:t>
      </w:r>
      <w:r w:rsidR="008F1952" w:rsidRPr="00720140">
        <w:t xml:space="preserve">As with the philosophical system of pragmaticism, </w:t>
      </w:r>
      <w:r w:rsidR="001E35CD" w:rsidRPr="00720140">
        <w:t>comprehensive discussion of the various definitions</w:t>
      </w:r>
      <w:r w:rsidR="008F1952" w:rsidRPr="00720140">
        <w:t>, concerns, and approaches connected to</w:t>
      </w:r>
      <w:r w:rsidR="001E35CD" w:rsidRPr="00720140">
        <w:t xml:space="preserve"> UDL is beyond this </w:t>
      </w:r>
      <w:r w:rsidR="009608AF" w:rsidRPr="00720140">
        <w:t>article’s reach</w:t>
      </w:r>
      <w:r w:rsidR="001E35CD" w:rsidRPr="00720140">
        <w:t xml:space="preserve">. My aim is rather to muse about the consequences for our philosophical orientation and educational practices </w:t>
      </w:r>
      <w:r w:rsidR="009608AF" w:rsidRPr="00720140">
        <w:t>that the UDL framework, in general, and, in particular, its Guidelines,</w:t>
      </w:r>
      <w:r w:rsidR="001E35CD" w:rsidRPr="00720140">
        <w:t xml:space="preserve"> hold for Disability Studies.</w:t>
      </w:r>
    </w:p>
    <w:p w14:paraId="6DC53230" w14:textId="2E8FCF00" w:rsidR="00D0245A" w:rsidRPr="00720140" w:rsidRDefault="0025375B" w:rsidP="007731D0">
      <w:r w:rsidRPr="00720140">
        <w:t xml:space="preserve">Incorporating Peirce’s phaneroscopy </w:t>
      </w:r>
      <w:r w:rsidR="001E35CD" w:rsidRPr="00720140">
        <w:t xml:space="preserve">and semiotic </w:t>
      </w:r>
      <w:r w:rsidRPr="00720140">
        <w:t xml:space="preserve">as </w:t>
      </w:r>
      <w:r w:rsidR="00226B21" w:rsidRPr="00720140">
        <w:t>UDL</w:t>
      </w:r>
      <w:r w:rsidRPr="00720140">
        <w:t xml:space="preserve"> building block</w:t>
      </w:r>
      <w:r w:rsidR="001E35CD" w:rsidRPr="00720140">
        <w:t>s</w:t>
      </w:r>
      <w:r w:rsidR="00226B21" w:rsidRPr="00720140">
        <w:t xml:space="preserve"> </w:t>
      </w:r>
      <w:r w:rsidR="00BA6787" w:rsidRPr="00720140">
        <w:t>advances this critical effort by pointing</w:t>
      </w:r>
      <w:r w:rsidR="007D4102" w:rsidRPr="00720140">
        <w:t xml:space="preserve"> to the medium of representation prior to </w:t>
      </w:r>
      <w:r w:rsidRPr="00720140">
        <w:t xml:space="preserve">course </w:t>
      </w:r>
      <w:r w:rsidR="007D4102" w:rsidRPr="00720140">
        <w:t xml:space="preserve">planning, design, and delivery. Peirce’s </w:t>
      </w:r>
      <w:r w:rsidR="00B10C50" w:rsidRPr="00720140">
        <w:t>derived category of</w:t>
      </w:r>
      <w:r w:rsidR="007D4102" w:rsidRPr="00720140">
        <w:t xml:space="preserve"> </w:t>
      </w:r>
      <w:r w:rsidR="007D4102" w:rsidRPr="00720140">
        <w:rPr>
          <w:i/>
          <w:iCs/>
        </w:rPr>
        <w:t>Firstness</w:t>
      </w:r>
      <w:r w:rsidR="007D4102" w:rsidRPr="00720140">
        <w:t xml:space="preserve"> </w:t>
      </w:r>
      <w:r w:rsidRPr="00720140">
        <w:t>accounts for</w:t>
      </w:r>
      <w:r w:rsidRPr="00720140" w:rsidDel="0025375B">
        <w:t xml:space="preserve"> </w:t>
      </w:r>
      <w:bookmarkStart w:id="1" w:name="_Hlk57106507"/>
      <w:r w:rsidR="003A441E" w:rsidRPr="00720140">
        <w:t>“the mode of being of that which is such as it is, positively and without reference to anything else”</w:t>
      </w:r>
      <w:bookmarkEnd w:id="1"/>
      <w:r w:rsidR="003A441E" w:rsidRPr="00720140">
        <w:t xml:space="preserve"> (</w:t>
      </w:r>
      <w:r w:rsidR="00BF3E4E" w:rsidRPr="00720140">
        <w:t>CP. 8.328</w:t>
      </w:r>
      <w:r w:rsidR="003A441E" w:rsidRPr="00720140">
        <w:t xml:space="preserve">). </w:t>
      </w:r>
      <w:r w:rsidR="00881542" w:rsidRPr="00720140">
        <w:rPr>
          <w:i/>
          <w:iCs/>
        </w:rPr>
        <w:t>Firstness</w:t>
      </w:r>
      <w:r w:rsidR="00881542" w:rsidRPr="00720140">
        <w:t xml:space="preserve"> is often positioned at the greatest distance from learning</w:t>
      </w:r>
      <w:r w:rsidRPr="00720140">
        <w:t>,</w:t>
      </w:r>
      <w:r w:rsidR="00D01553" w:rsidRPr="00720140">
        <w:t xml:space="preserve"> understood as marginal to the experiences that emerge in the </w:t>
      </w:r>
      <w:r w:rsidR="00226B21" w:rsidRPr="00720140">
        <w:t>phaneroscopic categories of</w:t>
      </w:r>
      <w:r w:rsidR="00D01553" w:rsidRPr="00720140">
        <w:t xml:space="preserve"> </w:t>
      </w:r>
      <w:r w:rsidR="00D01553" w:rsidRPr="00720140">
        <w:rPr>
          <w:i/>
          <w:iCs/>
        </w:rPr>
        <w:t>Secondness</w:t>
      </w:r>
      <w:r w:rsidR="00D01553" w:rsidRPr="00720140">
        <w:t xml:space="preserve"> and </w:t>
      </w:r>
      <w:r w:rsidR="00D01553" w:rsidRPr="00720140">
        <w:rPr>
          <w:i/>
          <w:iCs/>
        </w:rPr>
        <w:t>Thirdness</w:t>
      </w:r>
      <w:r w:rsidR="00D01553" w:rsidRPr="00720140">
        <w:t xml:space="preserve">: “Firstness is not a domain in which learning can take place since in pure Firstness, phenomena present themselves to our senses in their suchness, unrelated to anything else” (Nöth, 2018, p. 91). </w:t>
      </w:r>
      <w:r w:rsidR="00C630A4" w:rsidRPr="00720140">
        <w:t xml:space="preserve">Moving away from this </w:t>
      </w:r>
      <w:r w:rsidR="008F1952" w:rsidRPr="00720140">
        <w:t xml:space="preserve">dismissive </w:t>
      </w:r>
      <w:r w:rsidR="00C630A4" w:rsidRPr="00720140">
        <w:t>representation of</w:t>
      </w:r>
      <w:r w:rsidR="00BA6787" w:rsidRPr="00720140">
        <w:t xml:space="preserve"> </w:t>
      </w:r>
      <w:r w:rsidR="00BA6787" w:rsidRPr="00720140">
        <w:rPr>
          <w:i/>
          <w:iCs/>
        </w:rPr>
        <w:t>Firstness</w:t>
      </w:r>
      <w:r w:rsidR="00BA6787" w:rsidRPr="00720140">
        <w:t xml:space="preserve">, I would </w:t>
      </w:r>
      <w:r w:rsidR="008F1952" w:rsidRPr="00720140">
        <w:t xml:space="preserve">say (not tell, or argue) </w:t>
      </w:r>
      <w:r w:rsidR="00BA6787" w:rsidRPr="00720140">
        <w:t xml:space="preserve">that it is precisely through our attention to the “suchness” of </w:t>
      </w:r>
      <w:r w:rsidR="006149FC" w:rsidRPr="00720140">
        <w:t>specific educational phenomena</w:t>
      </w:r>
      <w:r w:rsidR="00226B21" w:rsidRPr="00720140">
        <w:t xml:space="preserve"> that learning begins</w:t>
      </w:r>
      <w:r w:rsidR="00B10C50" w:rsidRPr="00720140">
        <w:t>. At this stage, undifferentiated experience of the world</w:t>
      </w:r>
      <w:r w:rsidR="00226B21" w:rsidRPr="00720140">
        <w:t xml:space="preserve"> invites us</w:t>
      </w:r>
      <w:r w:rsidR="00B10C50" w:rsidRPr="00720140">
        <w:t>, quietly, without insistence,</w:t>
      </w:r>
      <w:r w:rsidR="00226B21" w:rsidRPr="00720140">
        <w:t xml:space="preserve"> to become dissatisfied with our present state of knowledge</w:t>
      </w:r>
      <w:r w:rsidR="008F1952" w:rsidRPr="00720140">
        <w:t>,</w:t>
      </w:r>
      <w:r w:rsidR="00400DEE" w:rsidRPr="00720140">
        <w:t xml:space="preserve"> thereby </w:t>
      </w:r>
      <w:r w:rsidR="00B10C50" w:rsidRPr="00720140">
        <w:t>allowing for the</w:t>
      </w:r>
      <w:r w:rsidR="00400DEE" w:rsidRPr="00720140">
        <w:t xml:space="preserve"> stretching </w:t>
      </w:r>
      <w:r w:rsidR="00B10C50" w:rsidRPr="00720140">
        <w:t xml:space="preserve">out </w:t>
      </w:r>
      <w:r w:rsidR="00400DEE" w:rsidRPr="00720140">
        <w:t>and exercise of our sensibilities and capacities that Peirce characterizes as the “will t</w:t>
      </w:r>
      <w:r w:rsidR="00B10C50" w:rsidRPr="00720140">
        <w:t>o</w:t>
      </w:r>
      <w:r w:rsidR="00400DEE" w:rsidRPr="00720140">
        <w:t xml:space="preserve"> learn</w:t>
      </w:r>
      <w:r w:rsidR="00226B21" w:rsidRPr="00720140">
        <w:t>.</w:t>
      </w:r>
      <w:r w:rsidR="00400DEE" w:rsidRPr="00720140">
        <w:t>”</w:t>
      </w:r>
      <w:r w:rsidR="00226B21" w:rsidRPr="00720140">
        <w:t xml:space="preserve"> </w:t>
      </w:r>
      <w:r w:rsidR="00B10C50" w:rsidRPr="00720140">
        <w:t xml:space="preserve">What might be gained by </w:t>
      </w:r>
      <w:r w:rsidR="00226B21" w:rsidRPr="00720140">
        <w:t>attending,</w:t>
      </w:r>
      <w:r w:rsidR="00BA6787" w:rsidRPr="00720140">
        <w:t xml:space="preserve"> for example, to the textural qualities of a course syllabus </w:t>
      </w:r>
      <w:r w:rsidR="00247F5A" w:rsidRPr="00720140">
        <w:t xml:space="preserve">in </w:t>
      </w:r>
      <w:r w:rsidR="00BA6787" w:rsidRPr="00720140">
        <w:t xml:space="preserve">printed </w:t>
      </w:r>
      <w:r w:rsidR="00247F5A" w:rsidRPr="00720140">
        <w:t>form</w:t>
      </w:r>
      <w:r w:rsidR="00BA6787" w:rsidRPr="00720140">
        <w:t xml:space="preserve">, or to the </w:t>
      </w:r>
      <w:r w:rsidR="006149FC" w:rsidRPr="00720140">
        <w:t xml:space="preserve">architectural “feel” </w:t>
      </w:r>
      <w:r w:rsidR="00B10C50" w:rsidRPr="00720140">
        <w:t xml:space="preserve">engendered in </w:t>
      </w:r>
      <w:r w:rsidR="00226B21" w:rsidRPr="00720140">
        <w:t>the physical space of a</w:t>
      </w:r>
      <w:r w:rsidR="006149FC" w:rsidRPr="00720140">
        <w:t xml:space="preserve"> learning environment,</w:t>
      </w:r>
      <w:r w:rsidR="00226B21" w:rsidRPr="00720140">
        <w:t xml:space="preserve"> and more recently,</w:t>
      </w:r>
      <w:r w:rsidR="00400DEE" w:rsidRPr="00720140">
        <w:t xml:space="preserve"> to</w:t>
      </w:r>
      <w:r w:rsidR="00226B21" w:rsidRPr="00720140">
        <w:t xml:space="preserve"> the sensorial layers</w:t>
      </w:r>
      <w:r w:rsidR="00400DEE" w:rsidRPr="00720140">
        <w:t>, the unfamiliar blending of physical and digitized textures in</w:t>
      </w:r>
      <w:r w:rsidR="00226B21" w:rsidRPr="00720140">
        <w:t xml:space="preserve"> online learning environments</w:t>
      </w:r>
      <w:r w:rsidR="00B10C50" w:rsidRPr="00720140">
        <w:t xml:space="preserve">? These aspects of </w:t>
      </w:r>
      <w:r w:rsidR="00B10C50" w:rsidRPr="00720140">
        <w:rPr>
          <w:i/>
          <w:iCs/>
        </w:rPr>
        <w:t>Firstness</w:t>
      </w:r>
      <w:r w:rsidR="00B10C50" w:rsidRPr="00720140">
        <w:t xml:space="preserve"> may allow</w:t>
      </w:r>
      <w:r w:rsidR="006149FC" w:rsidRPr="00720140">
        <w:t xml:space="preserve"> </w:t>
      </w:r>
      <w:r w:rsidR="00226B21" w:rsidRPr="00720140">
        <w:t>a community of learners</w:t>
      </w:r>
      <w:r w:rsidR="006149FC" w:rsidRPr="00720140">
        <w:t xml:space="preserve"> </w:t>
      </w:r>
      <w:r w:rsidR="00B10C50" w:rsidRPr="00720140">
        <w:t xml:space="preserve">to </w:t>
      </w:r>
      <w:r w:rsidR="006149FC" w:rsidRPr="00720140">
        <w:t xml:space="preserve">discover modes of creativity unencumbered by the curricular and pedagogical </w:t>
      </w:r>
      <w:r w:rsidR="00226B21" w:rsidRPr="00720140">
        <w:t xml:space="preserve">rules, </w:t>
      </w:r>
      <w:r w:rsidR="00226B21" w:rsidRPr="00720140">
        <w:lastRenderedPageBreak/>
        <w:t xml:space="preserve">dicta, and bureaucratic </w:t>
      </w:r>
      <w:r w:rsidR="006149FC" w:rsidRPr="00720140">
        <w:t xml:space="preserve">pressures that </w:t>
      </w:r>
      <w:r w:rsidR="00400DEE" w:rsidRPr="00720140">
        <w:t>squeeze the meaning out of education,</w:t>
      </w:r>
      <w:r w:rsidR="006149FC" w:rsidRPr="00720140">
        <w:t xml:space="preserve"> </w:t>
      </w:r>
      <w:r w:rsidR="00226B21" w:rsidRPr="00720140">
        <w:t>reduc</w:t>
      </w:r>
      <w:r w:rsidR="00400DEE" w:rsidRPr="00720140">
        <w:t>ing</w:t>
      </w:r>
      <w:r w:rsidR="00226B21" w:rsidRPr="00720140">
        <w:t xml:space="preserve"> course </w:t>
      </w:r>
      <w:r w:rsidR="006149FC" w:rsidRPr="00720140">
        <w:t>syllab</w:t>
      </w:r>
      <w:r w:rsidR="00226B21" w:rsidRPr="00720140">
        <w:t>i</w:t>
      </w:r>
      <w:r w:rsidR="006149FC" w:rsidRPr="00720140">
        <w:t xml:space="preserve"> </w:t>
      </w:r>
      <w:r w:rsidR="00400DEE" w:rsidRPr="00720140">
        <w:t>to</w:t>
      </w:r>
      <w:r w:rsidR="00226B21" w:rsidRPr="00720140">
        <w:t xml:space="preserve"> something like a business contract,</w:t>
      </w:r>
      <w:r w:rsidR="006149FC" w:rsidRPr="00720140">
        <w:t xml:space="preserve"> merely the means to properly (and narrowly conceived) educational end</w:t>
      </w:r>
      <w:r w:rsidR="00400DEE" w:rsidRPr="00720140">
        <w:t>s</w:t>
      </w:r>
      <w:r w:rsidR="006149FC" w:rsidRPr="00720140">
        <w:t>.</w:t>
      </w:r>
    </w:p>
    <w:p w14:paraId="2E0451BF" w14:textId="1D6107F5" w:rsidR="007731D0" w:rsidRPr="00720140" w:rsidRDefault="006149FC" w:rsidP="007731D0">
      <w:r w:rsidRPr="00720140">
        <w:t xml:space="preserve">In claiming the educational richness of Firstness, I am happy to concede that </w:t>
      </w:r>
      <w:r w:rsidR="00D01553" w:rsidRPr="00720140">
        <w:t xml:space="preserve">“pure Firstness is an abstraction and cannot actually be taught” (Nöth, 2018, p. 89). </w:t>
      </w:r>
      <w:r w:rsidRPr="00720140">
        <w:t xml:space="preserve">Yet both </w:t>
      </w:r>
      <w:r w:rsidR="00226B21" w:rsidRPr="00720140">
        <w:t>from the perspective of Peircean pragmaticism</w:t>
      </w:r>
      <w:r w:rsidRPr="00720140">
        <w:t>, and f</w:t>
      </w:r>
      <w:r w:rsidR="00D01553" w:rsidRPr="00720140">
        <w:t xml:space="preserve">rom a Disability Studies perspective, </w:t>
      </w:r>
      <w:r w:rsidRPr="00720140">
        <w:t xml:space="preserve">an outright </w:t>
      </w:r>
      <w:r w:rsidR="00D01553" w:rsidRPr="00720140">
        <w:t>rejection of genuine Firstness</w:t>
      </w:r>
      <w:r w:rsidR="00247F5A" w:rsidRPr="00720140">
        <w:t xml:space="preserve"> </w:t>
      </w:r>
      <w:r w:rsidR="00400DEE" w:rsidRPr="00720140">
        <w:t xml:space="preserve">does not </w:t>
      </w:r>
      <w:r w:rsidR="00B10C50" w:rsidRPr="00720140">
        <w:t xml:space="preserve">delight in </w:t>
      </w:r>
      <w:r w:rsidRPr="00720140">
        <w:t>its seeming autonomy from the “real world” and</w:t>
      </w:r>
      <w:r w:rsidR="00400DEE" w:rsidRPr="00720140">
        <w:t>, consequently, its steady</w:t>
      </w:r>
      <w:r w:rsidRPr="00720140">
        <w:t xml:space="preserve"> defiance of </w:t>
      </w:r>
      <w:r w:rsidR="00400DEE" w:rsidRPr="00720140">
        <w:t>standardized education</w:t>
      </w:r>
      <w:r w:rsidRPr="00720140">
        <w:t>.</w:t>
      </w:r>
      <w:r w:rsidR="00D01553" w:rsidRPr="00720140">
        <w:t xml:space="preserve"> </w:t>
      </w:r>
      <w:r w:rsidRPr="00720140">
        <w:t>I</w:t>
      </w:r>
      <w:r w:rsidR="00D01553" w:rsidRPr="00720140">
        <w:t xml:space="preserve">n Peircean </w:t>
      </w:r>
      <w:r w:rsidR="00400DEE" w:rsidRPr="00720140">
        <w:t>terms</w:t>
      </w:r>
      <w:r w:rsidR="00D01553" w:rsidRPr="00720140">
        <w:t xml:space="preserve">, </w:t>
      </w:r>
      <w:r w:rsidR="007731D0" w:rsidRPr="00720140">
        <w:t xml:space="preserve">dismissing qualities of feeling (Firstness) because of their lack of pedagogical application </w:t>
      </w:r>
      <w:r w:rsidR="00D01553" w:rsidRPr="00720140">
        <w:t>may be said to “block the way of inquiry”</w:t>
      </w:r>
      <w:r w:rsidR="0025375B" w:rsidRPr="00720140">
        <w:t xml:space="preserve"> </w:t>
      </w:r>
      <w:r w:rsidR="00B10C50" w:rsidRPr="00720140">
        <w:t>(CP 1.135, 1898)</w:t>
      </w:r>
      <w:r w:rsidR="00B8098F" w:rsidRPr="00720140">
        <w:rPr>
          <w:rStyle w:val="FootnoteReference"/>
        </w:rPr>
        <w:footnoteReference w:id="7"/>
      </w:r>
      <w:r w:rsidR="00B8098F" w:rsidRPr="00720140">
        <w:t xml:space="preserve"> </w:t>
      </w:r>
      <w:r w:rsidR="007731D0" w:rsidRPr="00720140">
        <w:t xml:space="preserve">by emphasizing a “will to teach” </w:t>
      </w:r>
      <w:r w:rsidR="00400DEE" w:rsidRPr="00720140">
        <w:t>reliant</w:t>
      </w:r>
      <w:r w:rsidR="007731D0" w:rsidRPr="00720140">
        <w:t xml:space="preserve"> on </w:t>
      </w:r>
      <w:r w:rsidR="001A011A" w:rsidRPr="00720140">
        <w:t>a widely</w:t>
      </w:r>
      <w:r w:rsidR="007731D0" w:rsidRPr="00720140">
        <w:t xml:space="preserve"> accepted, but questionable division between instruction and </w:t>
      </w:r>
      <w:r w:rsidR="00D0245A" w:rsidRPr="00720140">
        <w:t>learning</w:t>
      </w:r>
      <w:r w:rsidR="00226B21" w:rsidRPr="00720140">
        <w:t xml:space="preserve">, </w:t>
      </w:r>
      <w:r w:rsidR="00B10C50" w:rsidRPr="00720140">
        <w:t xml:space="preserve">one </w:t>
      </w:r>
      <w:r w:rsidR="00400DEE" w:rsidRPr="00720140">
        <w:t xml:space="preserve">that misrepresents </w:t>
      </w:r>
      <w:r w:rsidR="001A011A" w:rsidRPr="00720140">
        <w:t>the latter</w:t>
      </w:r>
      <w:r w:rsidR="00D0245A" w:rsidRPr="00720140">
        <w:t xml:space="preserve"> </w:t>
      </w:r>
      <w:r w:rsidR="00400DEE" w:rsidRPr="00720140">
        <w:t>as mere</w:t>
      </w:r>
      <w:r w:rsidR="00D0245A" w:rsidRPr="00720140">
        <w:t xml:space="preserve"> knowledge-</w:t>
      </w:r>
      <w:r w:rsidR="007731D0" w:rsidRPr="00720140">
        <w:t xml:space="preserve">acquisition. </w:t>
      </w:r>
      <w:r w:rsidR="0025375B" w:rsidRPr="00720140">
        <w:t>Charting a different course,</w:t>
      </w:r>
      <w:r w:rsidR="00020CC7" w:rsidRPr="00720140">
        <w:t xml:space="preserve"> let us</w:t>
      </w:r>
      <w:r w:rsidR="0025375B" w:rsidRPr="00720140">
        <w:t xml:space="preserve"> </w:t>
      </w:r>
      <w:r w:rsidR="00020CC7" w:rsidRPr="00720140">
        <w:t>and consider the ways</w:t>
      </w:r>
      <w:r w:rsidR="001A011A" w:rsidRPr="00720140">
        <w:t xml:space="preserve"> </w:t>
      </w:r>
      <w:r w:rsidR="004861F9" w:rsidRPr="00720140">
        <w:t>UDL</w:t>
      </w:r>
      <w:r w:rsidR="00754DEE" w:rsidRPr="00720140">
        <w:t xml:space="preserve"> </w:t>
      </w:r>
      <w:r w:rsidR="00020CC7" w:rsidRPr="00720140">
        <w:t xml:space="preserve">could develop, indeed </w:t>
      </w:r>
      <w:r w:rsidR="00020CC7" w:rsidRPr="00720140">
        <w:rPr>
          <w:i/>
          <w:iCs/>
        </w:rPr>
        <w:t xml:space="preserve">has </w:t>
      </w:r>
      <w:r w:rsidR="00020CC7" w:rsidRPr="00720140">
        <w:t xml:space="preserve">developed </w:t>
      </w:r>
      <w:r w:rsidR="00754DEE" w:rsidRPr="00720140">
        <w:t>over time</w:t>
      </w:r>
      <w:r w:rsidR="004861F9" w:rsidRPr="00720140">
        <w:t xml:space="preserve"> as a </w:t>
      </w:r>
      <w:r w:rsidR="00400DEE" w:rsidRPr="00720140">
        <w:t xml:space="preserve">“semiotic </w:t>
      </w:r>
      <w:r w:rsidR="004861F9" w:rsidRPr="00720140">
        <w:t>process</w:t>
      </w:r>
      <w:r w:rsidR="00400DEE" w:rsidRPr="00720140">
        <w:t xml:space="preserve">,” to return to Strand’s </w:t>
      </w:r>
      <w:r w:rsidR="00020CC7" w:rsidRPr="00720140">
        <w:t>(</w:t>
      </w:r>
      <w:r w:rsidR="00400DEE" w:rsidRPr="00720140">
        <w:t>2013</w:t>
      </w:r>
      <w:r w:rsidR="00020CC7" w:rsidRPr="00720140">
        <w:t>)</w:t>
      </w:r>
      <w:r w:rsidR="00400DEE" w:rsidRPr="00720140">
        <w:t xml:space="preserve"> formulation (p. 799).</w:t>
      </w:r>
      <w:r w:rsidR="001A011A" w:rsidRPr="00720140">
        <w:t xml:space="preserve"> </w:t>
      </w:r>
      <w:r w:rsidR="00754DEE" w:rsidRPr="00720140">
        <w:t>Firstness</w:t>
      </w:r>
      <w:r w:rsidR="00B86F0F" w:rsidRPr="00720140">
        <w:t xml:space="preserve">, </w:t>
      </w:r>
      <w:r w:rsidR="00C366C5" w:rsidRPr="00720140">
        <w:t>the domain of</w:t>
      </w:r>
      <w:r w:rsidR="00754DEE" w:rsidRPr="00720140">
        <w:t xml:space="preserve"> qualitative possibility, and likeness (</w:t>
      </w:r>
      <w:r w:rsidR="00754DEE" w:rsidRPr="00720140">
        <w:rPr>
          <w:i/>
          <w:iCs/>
        </w:rPr>
        <w:t>multiple means of representation</w:t>
      </w:r>
      <w:r w:rsidR="00754DEE" w:rsidRPr="00720140">
        <w:t>)</w:t>
      </w:r>
      <w:r w:rsidR="001A011A" w:rsidRPr="00720140">
        <w:t xml:space="preserve"> </w:t>
      </w:r>
      <w:r w:rsidR="004861F9" w:rsidRPr="00720140">
        <w:t>promise</w:t>
      </w:r>
      <w:r w:rsidR="00400DEE" w:rsidRPr="00720140">
        <w:t>s</w:t>
      </w:r>
      <w:r w:rsidR="001A011A" w:rsidRPr="00720140">
        <w:t xml:space="preserve"> richly educative possibilities, </w:t>
      </w:r>
      <w:r w:rsidR="00754DEE" w:rsidRPr="00720140">
        <w:t>bring</w:t>
      </w:r>
      <w:r w:rsidR="00B86F0F" w:rsidRPr="00720140">
        <w:t>ing</w:t>
      </w:r>
      <w:r w:rsidR="004861F9" w:rsidRPr="00720140">
        <w:t xml:space="preserve"> our pragmaticist community of learners</w:t>
      </w:r>
      <w:r w:rsidR="00754DEE" w:rsidRPr="00720140">
        <w:t xml:space="preserve"> </w:t>
      </w:r>
      <w:r w:rsidR="001A011A" w:rsidRPr="00720140">
        <w:t>into</w:t>
      </w:r>
      <w:r w:rsidR="007731D0" w:rsidRPr="00720140">
        <w:t xml:space="preserve"> affective encounter</w:t>
      </w:r>
      <w:r w:rsidR="004861F9" w:rsidRPr="00720140">
        <w:t>s</w:t>
      </w:r>
      <w:r w:rsidR="007731D0" w:rsidRPr="00720140">
        <w:t xml:space="preserve"> with experiential phenomena as autonomous ways of being.</w:t>
      </w:r>
      <w:r w:rsidR="00754DEE" w:rsidRPr="00720140">
        <w:t xml:space="preserve"> Within a </w:t>
      </w:r>
      <w:r w:rsidR="004861F9" w:rsidRPr="00720140">
        <w:t>UDL</w:t>
      </w:r>
      <w:r w:rsidR="00754DEE" w:rsidRPr="00720140">
        <w:t xml:space="preserve"> environment, </w:t>
      </w:r>
      <w:r w:rsidR="007731D0" w:rsidRPr="00720140">
        <w:t>such phenomena</w:t>
      </w:r>
      <w:r w:rsidR="00754DEE" w:rsidRPr="00720140">
        <w:t xml:space="preserve"> </w:t>
      </w:r>
      <w:r w:rsidR="007731D0" w:rsidRPr="00720140">
        <w:t xml:space="preserve">may </w:t>
      </w:r>
      <w:r w:rsidR="00754DEE" w:rsidRPr="00720140">
        <w:t xml:space="preserve">be mediated, extended, and enriched through verbal and textual descriptions, </w:t>
      </w:r>
      <w:r w:rsidR="007731D0" w:rsidRPr="00720140">
        <w:t>in accordance with the needs of those present in that specific setting</w:t>
      </w:r>
      <w:r w:rsidR="00ED0CF3" w:rsidRPr="00720140">
        <w:t>.</w:t>
      </w:r>
      <w:r w:rsidR="007731D0" w:rsidRPr="00720140">
        <w:t xml:space="preserve"> This does not preclude, however, a </w:t>
      </w:r>
      <w:r w:rsidR="00A938B6" w:rsidRPr="00720140">
        <w:t>collective attention</w:t>
      </w:r>
      <w:r w:rsidR="007731D0" w:rsidRPr="00720140">
        <w:t xml:space="preserve"> to each of these phenomena as potentially educative phenomena</w:t>
      </w:r>
      <w:r w:rsidR="00400DEE" w:rsidRPr="00720140">
        <w:t xml:space="preserve"> “without reference to anything else” (CP. 8.328)</w:t>
      </w:r>
      <w:r w:rsidR="00020CC7" w:rsidRPr="00720140">
        <w:t>,</w:t>
      </w:r>
      <w:r w:rsidR="007731D0" w:rsidRPr="00720140">
        <w:t xml:space="preserve"> </w:t>
      </w:r>
      <w:r w:rsidR="00400DEE" w:rsidRPr="00720140">
        <w:t xml:space="preserve">that is, </w:t>
      </w:r>
      <w:r w:rsidR="007731D0" w:rsidRPr="00720140">
        <w:t xml:space="preserve">by virtue of their inherent qualities. </w:t>
      </w:r>
      <w:r w:rsidR="00020CC7" w:rsidRPr="00720140">
        <w:t>Consequently</w:t>
      </w:r>
      <w:r w:rsidR="007731D0" w:rsidRPr="00720140">
        <w:t xml:space="preserve">, </w:t>
      </w:r>
      <w:r w:rsidR="00A938B6" w:rsidRPr="00720140">
        <w:t xml:space="preserve">a </w:t>
      </w:r>
      <w:r w:rsidR="005B3B77" w:rsidRPr="00720140">
        <w:t xml:space="preserve">situated </w:t>
      </w:r>
      <w:r w:rsidR="00A938B6" w:rsidRPr="00720140">
        <w:lastRenderedPageBreak/>
        <w:t>community of learners</w:t>
      </w:r>
      <w:r w:rsidR="007731D0" w:rsidRPr="00720140">
        <w:t xml:space="preserve"> may come away with renewed appreciation for the learning that takes places through “meditation, musement, daydreaming, imagination and creativity” and, significantly, </w:t>
      </w:r>
      <w:r w:rsidR="001A011A" w:rsidRPr="00720140">
        <w:t xml:space="preserve">through </w:t>
      </w:r>
      <w:r w:rsidR="007731D0" w:rsidRPr="00720140">
        <w:t>“learning from error” (Nöth, 2018, p. 88).</w:t>
      </w:r>
    </w:p>
    <w:p w14:paraId="44025298" w14:textId="427955AC" w:rsidR="001E7806" w:rsidRPr="00720140" w:rsidRDefault="001E7806" w:rsidP="006F1770">
      <w:pPr>
        <w:pStyle w:val="Heading1"/>
        <w:spacing w:after="0"/>
        <w:ind w:firstLine="0"/>
        <w:rPr>
          <w:rFonts w:cs="Times New Roman"/>
          <w:szCs w:val="24"/>
        </w:rPr>
      </w:pPr>
      <w:r w:rsidRPr="00720140">
        <w:rPr>
          <w:rFonts w:cs="Times New Roman"/>
          <w:szCs w:val="24"/>
        </w:rPr>
        <w:t>Universal Design for Learning as Secondness</w:t>
      </w:r>
      <w:r w:rsidR="00C366C5" w:rsidRPr="00720140">
        <w:rPr>
          <w:rFonts w:cs="Times New Roman"/>
          <w:szCs w:val="24"/>
        </w:rPr>
        <w:t>: Multiple Means of Engagement</w:t>
      </w:r>
    </w:p>
    <w:p w14:paraId="1CBC257D" w14:textId="77777777" w:rsidR="00D0245A" w:rsidRPr="00720140" w:rsidRDefault="00B86F0F" w:rsidP="00D0245A">
      <w:r w:rsidRPr="00720140">
        <w:t xml:space="preserve">Let us return to the educational importance of what Peirce characterizes as </w:t>
      </w:r>
      <w:r w:rsidR="00D51364" w:rsidRPr="00720140">
        <w:t>“The Will to Learn</w:t>
      </w:r>
      <w:r w:rsidRPr="00720140">
        <w:t>.</w:t>
      </w:r>
      <w:r w:rsidR="00D51364" w:rsidRPr="00720140">
        <w:t xml:space="preserve">” </w:t>
      </w:r>
      <w:r w:rsidRPr="00720140">
        <w:t>What this means for</w:t>
      </w:r>
      <w:r w:rsidR="00D51364" w:rsidRPr="00720140">
        <w:t xml:space="preserve"> Peirce,</w:t>
      </w:r>
      <w:r w:rsidRPr="00720140">
        <w:t xml:space="preserve"> as discussed earlier, is adopting</w:t>
      </w:r>
      <w:r w:rsidR="00D51364" w:rsidRPr="00720140">
        <w:t xml:space="preserve"> an open posture to the acquisition of new knowledge </w:t>
      </w:r>
      <w:r w:rsidR="00D0245A" w:rsidRPr="00720140">
        <w:t xml:space="preserve">through the educative force of </w:t>
      </w:r>
      <w:r w:rsidR="00D51364" w:rsidRPr="00720140">
        <w:t xml:space="preserve">Secondness </w:t>
      </w:r>
      <w:r w:rsidRPr="00720140">
        <w:t>(</w:t>
      </w:r>
      <w:r w:rsidR="00D51364" w:rsidRPr="00720140">
        <w:t>Nöth, 2018).</w:t>
      </w:r>
    </w:p>
    <w:p w14:paraId="741BE7AA" w14:textId="753BC613" w:rsidR="001A011A" w:rsidRPr="00720140" w:rsidRDefault="00D51364" w:rsidP="00D0245A">
      <w:r w:rsidRPr="00720140">
        <w:t>Pragmati</w:t>
      </w:r>
      <w:r w:rsidR="00A938B6" w:rsidRPr="00720140">
        <w:t>ci</w:t>
      </w:r>
      <w:r w:rsidRPr="00720140">
        <w:t xml:space="preserve">sm </w:t>
      </w:r>
      <w:r w:rsidR="00AA0B34" w:rsidRPr="00720140">
        <w:t>depends on</w:t>
      </w:r>
      <w:r w:rsidRPr="00720140">
        <w:t xml:space="preserve"> a willingness to discard prior belief, and </w:t>
      </w:r>
      <w:r w:rsidR="0006780D" w:rsidRPr="00720140">
        <w:t xml:space="preserve">to </w:t>
      </w:r>
      <w:r w:rsidRPr="00720140">
        <w:t xml:space="preserve">shed old habits of thinking, but only </w:t>
      </w:r>
      <w:r w:rsidR="00A938B6" w:rsidRPr="00720140">
        <w:t>with ample and</w:t>
      </w:r>
      <w:r w:rsidRPr="00720140">
        <w:t xml:space="preserve"> good reason</w:t>
      </w:r>
      <w:r w:rsidR="00020CC7" w:rsidRPr="00720140">
        <w:t xml:space="preserve"> for so doing</w:t>
      </w:r>
      <w:r w:rsidRPr="00720140">
        <w:t xml:space="preserve">. </w:t>
      </w:r>
      <w:r w:rsidR="00F71841" w:rsidRPr="00720140">
        <w:t>In a letter to philosopher Victoria Welby</w:t>
      </w:r>
      <w:r w:rsidR="00624C53" w:rsidRPr="00720140">
        <w:t xml:space="preserve"> (1837–1912)</w:t>
      </w:r>
      <w:r w:rsidR="00F71841" w:rsidRPr="00720140">
        <w:t xml:space="preserve">, with whom </w:t>
      </w:r>
      <w:r w:rsidR="00624C53" w:rsidRPr="00720140">
        <w:t>Peirce</w:t>
      </w:r>
      <w:r w:rsidR="00F71841" w:rsidRPr="00720140">
        <w:t xml:space="preserve"> maintained a lively and sustained correspondence, </w:t>
      </w:r>
      <w:r w:rsidR="00624C53" w:rsidRPr="00720140">
        <w:t>he</w:t>
      </w:r>
      <w:r w:rsidR="00F71841" w:rsidRPr="00720140">
        <w:t xml:space="preserve"> describes Secondness</w:t>
      </w:r>
      <w:r w:rsidR="00FA6896" w:rsidRPr="00720140">
        <w:t xml:space="preserve"> as “the mode of being of that which is such as it is, with respect to a second but regardless of any third”</w:t>
      </w:r>
      <w:r w:rsidR="00914F1A" w:rsidRPr="00720140">
        <w:t xml:space="preserve"> (Peirce, personal communication, October 12, 1904)</w:t>
      </w:r>
      <w:r w:rsidR="00A938B6" w:rsidRPr="00720140">
        <w:t xml:space="preserve">. This definition </w:t>
      </w:r>
      <w:r w:rsidR="0006780D" w:rsidRPr="00720140">
        <w:t xml:space="preserve">can be </w:t>
      </w:r>
      <w:r w:rsidR="00A938B6" w:rsidRPr="00720140">
        <w:t>aligned</w:t>
      </w:r>
      <w:r w:rsidR="0006780D" w:rsidRPr="00720140">
        <w:t xml:space="preserve"> with </w:t>
      </w:r>
      <w:r w:rsidR="00A938B6" w:rsidRPr="00720140">
        <w:t>UDL’s</w:t>
      </w:r>
      <w:r w:rsidR="0006780D" w:rsidRPr="00720140">
        <w:t xml:space="preserve"> commitment to </w:t>
      </w:r>
      <w:r w:rsidR="00754DEE" w:rsidRPr="00720140">
        <w:rPr>
          <w:i/>
          <w:iCs/>
        </w:rPr>
        <w:t>multiple means of engagement</w:t>
      </w:r>
      <w:r w:rsidR="001A011A" w:rsidRPr="00720140">
        <w:t xml:space="preserve">. </w:t>
      </w:r>
      <w:r w:rsidR="005B3B77" w:rsidRPr="00720140">
        <w:t>F</w:t>
      </w:r>
      <w:r w:rsidR="00754DEE" w:rsidRPr="00720140">
        <w:t xml:space="preserve">or learning to </w:t>
      </w:r>
      <w:r w:rsidR="005B3B77" w:rsidRPr="00720140">
        <w:t>unfold</w:t>
      </w:r>
      <w:r w:rsidR="00754DEE" w:rsidRPr="00720140">
        <w:t xml:space="preserve">, </w:t>
      </w:r>
      <w:r w:rsidR="00A938B6" w:rsidRPr="00720140">
        <w:t>interpersonal and group</w:t>
      </w:r>
      <w:r w:rsidR="0006780D" w:rsidRPr="00720140">
        <w:t xml:space="preserve"> </w:t>
      </w:r>
      <w:r w:rsidR="00754DEE" w:rsidRPr="00720140">
        <w:t xml:space="preserve">interactions </w:t>
      </w:r>
      <w:r w:rsidR="00A938B6" w:rsidRPr="00720140">
        <w:t>in a community of learners</w:t>
      </w:r>
      <w:r w:rsidR="00754DEE" w:rsidRPr="00720140">
        <w:t xml:space="preserve"> </w:t>
      </w:r>
      <w:r w:rsidR="00FA6896" w:rsidRPr="00720140">
        <w:t>ought to</w:t>
      </w:r>
      <w:r w:rsidR="0006780D" w:rsidRPr="00720140">
        <w:t xml:space="preserve"> include an array of different</w:t>
      </w:r>
      <w:r w:rsidR="00FA6896" w:rsidRPr="00720140">
        <w:t xml:space="preserve"> methods and techniques to </w:t>
      </w:r>
      <w:r w:rsidR="0040002E" w:rsidRPr="00720140">
        <w:t>sustain the collective will to learn</w:t>
      </w:r>
      <w:r w:rsidR="006D6739" w:rsidRPr="00720140">
        <w:t>.</w:t>
      </w:r>
    </w:p>
    <w:p w14:paraId="527F57F3" w14:textId="225BDA52" w:rsidR="001D1475" w:rsidRPr="00720140" w:rsidRDefault="00FA6896" w:rsidP="00AC3BDA">
      <w:r w:rsidRPr="00720140">
        <w:t xml:space="preserve">Earlier, </w:t>
      </w:r>
      <w:r w:rsidR="005B3B77" w:rsidRPr="00720140">
        <w:t xml:space="preserve">we considered </w:t>
      </w:r>
      <w:r w:rsidRPr="00720140">
        <w:t xml:space="preserve">the singular aspect of </w:t>
      </w:r>
      <w:r w:rsidRPr="00720140">
        <w:rPr>
          <w:i/>
          <w:iCs/>
        </w:rPr>
        <w:t>Firstness</w:t>
      </w:r>
      <w:r w:rsidRPr="00720140">
        <w:t xml:space="preserve"> as the ways in which sign-vehicles exist as autonomous</w:t>
      </w:r>
      <w:r w:rsidR="001A011A" w:rsidRPr="00720140">
        <w:t xml:space="preserve"> semiotic possibilities</w:t>
      </w:r>
      <w:r w:rsidRPr="00720140">
        <w:t xml:space="preserve">, </w:t>
      </w:r>
      <w:r w:rsidR="005B3B77" w:rsidRPr="00720140">
        <w:t xml:space="preserve">that is, as </w:t>
      </w:r>
      <w:r w:rsidR="0040002E" w:rsidRPr="00720140">
        <w:t xml:space="preserve">signs of </w:t>
      </w:r>
      <w:r w:rsidR="0040002E" w:rsidRPr="00720140">
        <w:rPr>
          <w:i/>
          <w:iCs/>
        </w:rPr>
        <w:t>possible</w:t>
      </w:r>
      <w:r w:rsidRPr="00720140">
        <w:t xml:space="preserve"> experience. </w:t>
      </w:r>
      <w:r w:rsidR="00754DEE" w:rsidRPr="00720140">
        <w:t xml:space="preserve">The encounter between </w:t>
      </w:r>
      <w:r w:rsidRPr="00720140">
        <w:t xml:space="preserve">sign-vehicle and object, or more accurately, the </w:t>
      </w:r>
      <w:r w:rsidR="0040002E" w:rsidRPr="00720140">
        <w:t>relationship between the</w:t>
      </w:r>
      <w:r w:rsidR="00020CC7" w:rsidRPr="00720140">
        <w:t>se</w:t>
      </w:r>
      <w:r w:rsidR="0040002E" w:rsidRPr="00720140">
        <w:t xml:space="preserve"> two</w:t>
      </w:r>
      <w:r w:rsidR="00754DEE" w:rsidRPr="00720140">
        <w:t xml:space="preserve"> instantiates </w:t>
      </w:r>
      <w:r w:rsidR="00754DEE" w:rsidRPr="00720140">
        <w:rPr>
          <w:i/>
          <w:iCs/>
        </w:rPr>
        <w:t>Secondness</w:t>
      </w:r>
      <w:r w:rsidR="00754DEE" w:rsidRPr="00720140">
        <w:t xml:space="preserve"> </w:t>
      </w:r>
      <w:r w:rsidR="0040002E" w:rsidRPr="00720140">
        <w:t>as a phaneroscopic category within which specific types of signs emerge.</w:t>
      </w:r>
      <w:r w:rsidR="005B3B77" w:rsidRPr="00720140">
        <w:t xml:space="preserve"> </w:t>
      </w:r>
      <w:r w:rsidRPr="00720140">
        <w:t xml:space="preserve">The physical experience of being in a learning environment constitutes </w:t>
      </w:r>
      <w:r w:rsidRPr="00720140">
        <w:rPr>
          <w:i/>
          <w:iCs/>
        </w:rPr>
        <w:t>Secondness</w:t>
      </w:r>
      <w:r w:rsidRPr="00720140">
        <w:t xml:space="preserve">, when, for example, </w:t>
      </w:r>
      <w:r w:rsidR="0040002E" w:rsidRPr="00720140">
        <w:t>the pragmaticist community of learners comes to realize</w:t>
      </w:r>
      <w:r w:rsidRPr="00720140">
        <w:t xml:space="preserve"> that the space presents accessibility barriers not previously </w:t>
      </w:r>
      <w:r w:rsidR="005B3B77" w:rsidRPr="00720140">
        <w:t xml:space="preserve">perceived, </w:t>
      </w:r>
      <w:r w:rsidRPr="00720140">
        <w:t>identified</w:t>
      </w:r>
      <w:r w:rsidR="005B3B77" w:rsidRPr="00720140">
        <w:t>, or known</w:t>
      </w:r>
      <w:r w:rsidRPr="00720140">
        <w:t>. Peirce</w:t>
      </w:r>
      <w:r w:rsidR="005B3B77" w:rsidRPr="00720140">
        <w:t>’s semiotics</w:t>
      </w:r>
      <w:r w:rsidRPr="00720140">
        <w:t xml:space="preserve"> offers a taxonomy of the possible relationships between a sign</w:t>
      </w:r>
      <w:r w:rsidR="00AC3BDA" w:rsidRPr="00720140">
        <w:t>-vehicle</w:t>
      </w:r>
      <w:r w:rsidRPr="00720140">
        <w:t xml:space="preserve"> and its object</w:t>
      </w:r>
      <w:r w:rsidR="00A239A0" w:rsidRPr="00720140">
        <w:t xml:space="preserve"> based on the modes </w:t>
      </w:r>
      <w:r w:rsidR="00A239A0" w:rsidRPr="00720140">
        <w:lastRenderedPageBreak/>
        <w:t xml:space="preserve">of reaction </w:t>
      </w:r>
      <w:r w:rsidR="0040002E" w:rsidRPr="00720140">
        <w:t>thereby embodied</w:t>
      </w:r>
      <w:r w:rsidR="00020CC7" w:rsidRPr="00720140">
        <w:t>: these, in turn, incorporate</w:t>
      </w:r>
      <w:r w:rsidR="00D25121" w:rsidRPr="00720140">
        <w:t xml:space="preserve"> the phaneroscopic categories.</w:t>
      </w:r>
      <w:r w:rsidRPr="00720140">
        <w:t xml:space="preserve"> To continue with the example of </w:t>
      </w:r>
      <w:r w:rsidR="00AC3BDA" w:rsidRPr="00720140">
        <w:t>corporeal</w:t>
      </w:r>
      <w:r w:rsidRPr="00720140">
        <w:t xml:space="preserve"> experience</w:t>
      </w:r>
      <w:r w:rsidR="00AC3BDA" w:rsidRPr="00720140">
        <w:t>s</w:t>
      </w:r>
      <w:r w:rsidRPr="00720140">
        <w:t xml:space="preserve"> in a learning environment</w:t>
      </w:r>
      <w:r w:rsidR="00A239A0" w:rsidRPr="00720140">
        <w:t>, for example, the degree to which the environment’s layout resembles an intersubjective idea about what a classroom or lecture hall ought to look like</w:t>
      </w:r>
      <w:r w:rsidR="00AC3BDA" w:rsidRPr="00720140">
        <w:t>,</w:t>
      </w:r>
      <w:r w:rsidR="00A239A0" w:rsidRPr="00720140">
        <w:t xml:space="preserve"> or a diagram that marks the location of accessible washrooms, ramps, and elevators</w:t>
      </w:r>
      <w:r w:rsidR="00D25121" w:rsidRPr="00720140">
        <w:t xml:space="preserve"> (</w:t>
      </w:r>
      <w:r w:rsidR="00D25121" w:rsidRPr="00720140">
        <w:rPr>
          <w:i/>
          <w:iCs/>
        </w:rPr>
        <w:t>Firstness</w:t>
      </w:r>
      <w:r w:rsidR="00D25121" w:rsidRPr="00720140">
        <w:t>)</w:t>
      </w:r>
      <w:r w:rsidR="00AC3BDA" w:rsidRPr="00720140">
        <w:t>; through</w:t>
      </w:r>
      <w:r w:rsidR="00A239A0" w:rsidRPr="00720140">
        <w:t xml:space="preserve"> surprise: for example, the sudden realization of previously unknown accessibility barrier</w:t>
      </w:r>
      <w:r w:rsidR="00AC3BDA" w:rsidRPr="00720140">
        <w:t>s</w:t>
      </w:r>
      <w:r w:rsidR="00A239A0" w:rsidRPr="00720140">
        <w:t xml:space="preserve"> which prompt further inquiry</w:t>
      </w:r>
      <w:r w:rsidR="00D25121" w:rsidRPr="00720140">
        <w:t xml:space="preserve"> (</w:t>
      </w:r>
      <w:r w:rsidR="00D25121" w:rsidRPr="00720140">
        <w:rPr>
          <w:i/>
          <w:iCs/>
        </w:rPr>
        <w:t>Secondness</w:t>
      </w:r>
      <w:r w:rsidR="00D25121" w:rsidRPr="00720140">
        <w:t>)</w:t>
      </w:r>
      <w:r w:rsidR="00AC3BDA" w:rsidRPr="00720140">
        <w:t>;</w:t>
      </w:r>
      <w:r w:rsidR="00A239A0" w:rsidRPr="00720140">
        <w:t xml:space="preserve"> and </w:t>
      </w:r>
      <w:r w:rsidR="00AC3BDA" w:rsidRPr="00720140">
        <w:t>through publicly available definitions</w:t>
      </w:r>
      <w:r w:rsidR="00A239A0" w:rsidRPr="00720140">
        <w:t xml:space="preserve"> </w:t>
      </w:r>
      <w:r w:rsidR="006A102D" w:rsidRPr="00720140">
        <w:t>(</w:t>
      </w:r>
      <w:r w:rsidR="00D25121" w:rsidRPr="00720140">
        <w:rPr>
          <w:i/>
          <w:iCs/>
        </w:rPr>
        <w:t>Thirdnes</w:t>
      </w:r>
      <w:r w:rsidR="00D25121" w:rsidRPr="00720140">
        <w:t>s</w:t>
      </w:r>
      <w:r w:rsidR="006A102D" w:rsidRPr="00720140">
        <w:t>)</w:t>
      </w:r>
      <w:r w:rsidR="00A239A0" w:rsidRPr="00720140">
        <w:t xml:space="preserve">: </w:t>
      </w:r>
      <w:r w:rsidR="00AC3BDA" w:rsidRPr="00720140">
        <w:t xml:space="preserve">individual words exemplify </w:t>
      </w:r>
      <w:r w:rsidR="00D25121" w:rsidRPr="00720140">
        <w:t xml:space="preserve">the </w:t>
      </w:r>
      <w:r w:rsidR="00AC3BDA" w:rsidRPr="00720140">
        <w:t xml:space="preserve">symbolic meaning </w:t>
      </w:r>
      <w:r w:rsidR="00D25121" w:rsidRPr="00720140">
        <w:t xml:space="preserve">of </w:t>
      </w:r>
      <w:r w:rsidR="00D25121" w:rsidRPr="00720140">
        <w:rPr>
          <w:i/>
          <w:iCs/>
        </w:rPr>
        <w:t xml:space="preserve">Thirdness </w:t>
      </w:r>
      <w:r w:rsidR="00AC3BDA" w:rsidRPr="00720140">
        <w:t>when rendered</w:t>
      </w:r>
      <w:r w:rsidR="005B3B77" w:rsidRPr="00720140">
        <w:t>, for example,</w:t>
      </w:r>
      <w:r w:rsidR="00AC3BDA" w:rsidRPr="00720140">
        <w:t xml:space="preserve"> in</w:t>
      </w:r>
      <w:r w:rsidR="00A239A0" w:rsidRPr="00720140">
        <w:t xml:space="preserve"> </w:t>
      </w:r>
      <w:r w:rsidR="005B3B77" w:rsidRPr="00720140">
        <w:t xml:space="preserve">spoken and written </w:t>
      </w:r>
      <w:r w:rsidR="00AC3BDA" w:rsidRPr="00720140">
        <w:t>communication</w:t>
      </w:r>
      <w:r w:rsidR="005B3B77" w:rsidRPr="00720140">
        <w:t xml:space="preserve"> systems such as this article</w:t>
      </w:r>
      <w:r w:rsidR="00A239A0" w:rsidRPr="00720140">
        <w:t xml:space="preserve">, </w:t>
      </w:r>
      <w:r w:rsidR="005B3B77" w:rsidRPr="00720140">
        <w:t xml:space="preserve">in </w:t>
      </w:r>
      <w:r w:rsidR="00065336" w:rsidRPr="00720140">
        <w:t xml:space="preserve">Braille, and </w:t>
      </w:r>
      <w:r w:rsidR="005B3B77" w:rsidRPr="00720140">
        <w:t>in s</w:t>
      </w:r>
      <w:r w:rsidR="00065336" w:rsidRPr="00720140">
        <w:t xml:space="preserve">ign </w:t>
      </w:r>
      <w:r w:rsidR="005B3B77" w:rsidRPr="00720140">
        <w:t>l</w:t>
      </w:r>
      <w:r w:rsidR="00065336" w:rsidRPr="00720140">
        <w:t>anguage</w:t>
      </w:r>
      <w:r w:rsidR="005B3B77" w:rsidRPr="00720140">
        <w:t>s</w:t>
      </w:r>
      <w:r w:rsidR="00AC3BDA" w:rsidRPr="00720140">
        <w:t>.</w:t>
      </w:r>
      <w:r w:rsidR="00D25121" w:rsidRPr="00720140">
        <w:t xml:space="preserve"> </w:t>
      </w:r>
      <w:r w:rsidR="005B3B77" w:rsidRPr="00720140">
        <w:t>In a learning environment, t</w:t>
      </w:r>
      <w:r w:rsidR="00AC3BDA" w:rsidRPr="00720140">
        <w:t>he simultaneous presence</w:t>
      </w:r>
      <w:r w:rsidR="005B3B77" w:rsidRPr="00720140">
        <w:t xml:space="preserve"> </w:t>
      </w:r>
      <w:r w:rsidR="00AC3BDA" w:rsidRPr="00720140">
        <w:t>of these different communicative systems represent</w:t>
      </w:r>
      <w:r w:rsidR="005B3B77" w:rsidRPr="00720140">
        <w:t>s</w:t>
      </w:r>
      <w:r w:rsidR="00AC3BDA" w:rsidRPr="00720140">
        <w:t xml:space="preserve"> a </w:t>
      </w:r>
      <w:r w:rsidR="00D25121" w:rsidRPr="00720140">
        <w:t>multi-level structure of</w:t>
      </w:r>
      <w:r w:rsidR="00AC3BDA" w:rsidRPr="00720140">
        <w:t xml:space="preserve"> symbolic (intersubjective, conventional, and public) meaning</w:t>
      </w:r>
      <w:r w:rsidR="00D25121" w:rsidRPr="00720140">
        <w:t>s</w:t>
      </w:r>
      <w:r w:rsidR="001D1475" w:rsidRPr="00720140">
        <w:t xml:space="preserve">, </w:t>
      </w:r>
      <w:r w:rsidR="005B3B77" w:rsidRPr="00720140">
        <w:t>thereby offering</w:t>
      </w:r>
      <w:r w:rsidR="00065336" w:rsidRPr="00720140">
        <w:t xml:space="preserve"> </w:t>
      </w:r>
      <w:r w:rsidR="00D25121" w:rsidRPr="00720140">
        <w:t>multiple points of entry into</w:t>
      </w:r>
      <w:r w:rsidR="005B3B77" w:rsidRPr="00720140">
        <w:t xml:space="preserve"> UDL’s </w:t>
      </w:r>
      <w:r w:rsidR="00D25121" w:rsidRPr="00720140">
        <w:t xml:space="preserve">avowed </w:t>
      </w:r>
      <w:r w:rsidR="005B3B77" w:rsidRPr="00720140">
        <w:t xml:space="preserve">commitment to </w:t>
      </w:r>
      <w:r w:rsidR="005B3B77" w:rsidRPr="00720140">
        <w:rPr>
          <w:i/>
          <w:iCs/>
        </w:rPr>
        <w:t>multiple means of engagement</w:t>
      </w:r>
      <w:r w:rsidR="00D25121" w:rsidRPr="00720140">
        <w:rPr>
          <w:i/>
          <w:iCs/>
        </w:rPr>
        <w:t>,</w:t>
      </w:r>
      <w:r w:rsidR="005B3B77" w:rsidRPr="00720140">
        <w:rPr>
          <w:i/>
          <w:iCs/>
        </w:rPr>
        <w:t xml:space="preserve"> </w:t>
      </w:r>
      <w:r w:rsidR="005B3B77" w:rsidRPr="00720140">
        <w:t xml:space="preserve">extending </w:t>
      </w:r>
      <w:r w:rsidR="00D25121" w:rsidRPr="00720140">
        <w:t xml:space="preserve">the consequences of this priority (our preparedness to act) </w:t>
      </w:r>
      <w:r w:rsidR="005B3B77" w:rsidRPr="00720140">
        <w:t>beyond learner motivation, to encompass disabling barriers that can discourage such motivation (CAST, 2018)</w:t>
      </w:r>
      <w:r w:rsidR="00065336" w:rsidRPr="00720140">
        <w:t>.</w:t>
      </w:r>
    </w:p>
    <w:p w14:paraId="5C8025C8" w14:textId="4CD97461" w:rsidR="00C366C5" w:rsidRPr="00720140" w:rsidRDefault="005B3B77" w:rsidP="00AC3BDA">
      <w:r w:rsidRPr="00720140">
        <w:t xml:space="preserve">This expanded </w:t>
      </w:r>
      <w:r w:rsidR="009F7535" w:rsidRPr="00720140">
        <w:t>range of</w:t>
      </w:r>
      <w:r w:rsidR="00065336" w:rsidRPr="00720140">
        <w:t xml:space="preserve"> </w:t>
      </w:r>
      <w:r w:rsidR="00065336" w:rsidRPr="00720140">
        <w:rPr>
          <w:i/>
          <w:iCs/>
        </w:rPr>
        <w:t>multiple means of engagement</w:t>
      </w:r>
      <w:r w:rsidR="00065336" w:rsidRPr="00720140">
        <w:t>, help</w:t>
      </w:r>
      <w:r w:rsidR="009F7535" w:rsidRPr="00720140">
        <w:t>s</w:t>
      </w:r>
      <w:r w:rsidR="00065336" w:rsidRPr="00720140">
        <w:t xml:space="preserve"> teachers and learners to become aware</w:t>
      </w:r>
      <w:r w:rsidR="001D1475" w:rsidRPr="00720140">
        <w:t xml:space="preserve">, through </w:t>
      </w:r>
      <w:r w:rsidR="001D1475" w:rsidRPr="00720140">
        <w:rPr>
          <w:i/>
          <w:iCs/>
        </w:rPr>
        <w:t>Secondness</w:t>
      </w:r>
      <w:r w:rsidR="001D1475" w:rsidRPr="00720140">
        <w:t>,</w:t>
      </w:r>
      <w:r w:rsidR="00065336" w:rsidRPr="00720140">
        <w:t xml:space="preserve"> of how accessibility and inaccessibility are </w:t>
      </w:r>
      <w:r w:rsidR="0040002E" w:rsidRPr="00720140">
        <w:t>not</w:t>
      </w:r>
      <w:r w:rsidR="00065336" w:rsidRPr="00720140">
        <w:t xml:space="preserve"> merely </w:t>
      </w:r>
      <w:r w:rsidR="009F7535" w:rsidRPr="00720140">
        <w:t xml:space="preserve">circumscribed </w:t>
      </w:r>
      <w:r w:rsidR="00065336" w:rsidRPr="00720140">
        <w:t xml:space="preserve">by physical barriers </w:t>
      </w:r>
      <w:r w:rsidR="009F7535" w:rsidRPr="00720140">
        <w:t>to education</w:t>
      </w:r>
      <w:r w:rsidR="00F86967" w:rsidRPr="00720140">
        <w:t>,</w:t>
      </w:r>
      <w:r w:rsidR="00065336" w:rsidRPr="00720140">
        <w:t xml:space="preserve"> but may </w:t>
      </w:r>
      <w:r w:rsidR="009F7535" w:rsidRPr="00720140">
        <w:t xml:space="preserve">also </w:t>
      </w:r>
      <w:r w:rsidR="00065336" w:rsidRPr="00720140">
        <w:t xml:space="preserve">bring into </w:t>
      </w:r>
      <w:r w:rsidR="009F7535" w:rsidRPr="00720140">
        <w:t xml:space="preserve">play </w:t>
      </w:r>
      <w:r w:rsidR="00065336" w:rsidRPr="00720140">
        <w:t>the experiential realm</w:t>
      </w:r>
      <w:r w:rsidR="00D25121" w:rsidRPr="00720140">
        <w:t>s of the phaneroscopic</w:t>
      </w:r>
      <w:r w:rsidR="00065336" w:rsidRPr="00720140">
        <w:t xml:space="preserve">, </w:t>
      </w:r>
      <w:r w:rsidR="009F7535" w:rsidRPr="00720140">
        <w:t xml:space="preserve">through </w:t>
      </w:r>
      <w:r w:rsidR="00065336" w:rsidRPr="00720140">
        <w:t xml:space="preserve">new understandings of the relationship between </w:t>
      </w:r>
      <w:r w:rsidR="009F7535" w:rsidRPr="00720140">
        <w:t xml:space="preserve">disability </w:t>
      </w:r>
      <w:r w:rsidR="00065336" w:rsidRPr="00720140">
        <w:t xml:space="preserve">access, teaching practices, and </w:t>
      </w:r>
      <w:r w:rsidR="009F7535" w:rsidRPr="00720140">
        <w:t xml:space="preserve">engaged </w:t>
      </w:r>
      <w:r w:rsidR="00065336" w:rsidRPr="00720140">
        <w:t>learning</w:t>
      </w:r>
      <w:r w:rsidR="00065336" w:rsidRPr="00720140" w:rsidDel="00065336">
        <w:t xml:space="preserve"> </w:t>
      </w:r>
      <w:r w:rsidR="00065336" w:rsidRPr="00720140">
        <w:t>(</w:t>
      </w:r>
      <w:r w:rsidR="009F7535" w:rsidRPr="00720140">
        <w:t>Nöth, 2018</w:t>
      </w:r>
      <w:r w:rsidR="00065336" w:rsidRPr="00720140">
        <w:t>)</w:t>
      </w:r>
      <w:r w:rsidR="00754DEE" w:rsidRPr="00720140">
        <w:t>.</w:t>
      </w:r>
      <w:r w:rsidR="009F7535" w:rsidRPr="00720140">
        <w:t xml:space="preserve"> In this way, </w:t>
      </w:r>
      <w:r w:rsidR="00065336" w:rsidRPr="00720140">
        <w:t>the richness</w:t>
      </w:r>
      <w:r w:rsidR="005F3237" w:rsidRPr="00720140">
        <w:t>,</w:t>
      </w:r>
      <w:r w:rsidR="00065336" w:rsidRPr="00720140">
        <w:t xml:space="preserve"> depth</w:t>
      </w:r>
      <w:r w:rsidR="005F3237" w:rsidRPr="00720140">
        <w:t>, and variety</w:t>
      </w:r>
      <w:r w:rsidR="00065336" w:rsidRPr="00720140">
        <w:t xml:space="preserve"> of </w:t>
      </w:r>
      <w:r w:rsidR="00065336" w:rsidRPr="00720140">
        <w:rPr>
          <w:i/>
          <w:iCs/>
        </w:rPr>
        <w:t>Secondness</w:t>
      </w:r>
      <w:r w:rsidR="00065336" w:rsidRPr="00720140">
        <w:t xml:space="preserve"> as a </w:t>
      </w:r>
      <w:r w:rsidR="009F7535" w:rsidRPr="00720140">
        <w:t xml:space="preserve">phaneroscopic </w:t>
      </w:r>
      <w:r w:rsidR="00065336" w:rsidRPr="00720140">
        <w:t xml:space="preserve">category </w:t>
      </w:r>
      <w:r w:rsidR="009F7535" w:rsidRPr="00720140">
        <w:t xml:space="preserve">can help us find a </w:t>
      </w:r>
      <w:r w:rsidR="009F7535" w:rsidRPr="00720140">
        <w:rPr>
          <w:i/>
          <w:iCs/>
        </w:rPr>
        <w:t>place to continue</w:t>
      </w:r>
      <w:r w:rsidR="001D1475" w:rsidRPr="00720140">
        <w:t xml:space="preserve"> </w:t>
      </w:r>
      <w:r w:rsidR="009F7535" w:rsidRPr="00720140">
        <w:t>in</w:t>
      </w:r>
      <w:r w:rsidR="00065336" w:rsidRPr="00720140">
        <w:t xml:space="preserve"> </w:t>
      </w:r>
      <w:r w:rsidR="001D1475" w:rsidRPr="00720140">
        <w:t xml:space="preserve">providing </w:t>
      </w:r>
      <w:r w:rsidR="00065336" w:rsidRPr="00720140">
        <w:t>“</w:t>
      </w:r>
      <w:r w:rsidR="00C366C5" w:rsidRPr="00720140">
        <w:t>all individuals equal opportunities to learn” (CAST, 201</w:t>
      </w:r>
      <w:r w:rsidR="00194E9C" w:rsidRPr="00720140">
        <w:t>8</w:t>
      </w:r>
      <w:r w:rsidR="00E84BE9" w:rsidRPr="00720140">
        <w:t>a</w:t>
      </w:r>
      <w:r w:rsidR="00C366C5" w:rsidRPr="00720140">
        <w:t>).</w:t>
      </w:r>
    </w:p>
    <w:p w14:paraId="58947BCA" w14:textId="5B951C31" w:rsidR="001E7806" w:rsidRPr="00720140" w:rsidRDefault="001E7806" w:rsidP="006F1770">
      <w:pPr>
        <w:pStyle w:val="Heading1"/>
        <w:spacing w:after="0"/>
        <w:ind w:firstLine="0"/>
        <w:rPr>
          <w:rFonts w:cs="Times New Roman"/>
          <w:szCs w:val="24"/>
        </w:rPr>
      </w:pPr>
      <w:r w:rsidRPr="00720140">
        <w:rPr>
          <w:rFonts w:cs="Times New Roman"/>
          <w:szCs w:val="24"/>
        </w:rPr>
        <w:lastRenderedPageBreak/>
        <w:t>Universal Design for Learning as Thirdness</w:t>
      </w:r>
      <w:r w:rsidR="00C366C5" w:rsidRPr="00720140">
        <w:rPr>
          <w:rFonts w:cs="Times New Roman"/>
          <w:szCs w:val="24"/>
        </w:rPr>
        <w:t>: Multiple Means of Action and Expression</w:t>
      </w:r>
    </w:p>
    <w:p w14:paraId="4C0DB0CA" w14:textId="2E80848B" w:rsidR="001D1475" w:rsidRPr="00720140" w:rsidRDefault="00ED0CF3" w:rsidP="001D1475">
      <w:r w:rsidRPr="00720140">
        <w:t xml:space="preserve">From the initial </w:t>
      </w:r>
      <w:r w:rsidR="00B27FF4" w:rsidRPr="00720140">
        <w:t xml:space="preserve">experience of </w:t>
      </w:r>
      <w:r w:rsidRPr="00720140">
        <w:t>surprise</w:t>
      </w:r>
      <w:r w:rsidR="00C76A4A" w:rsidRPr="00720140">
        <w:t>, even of dismay that</w:t>
      </w:r>
      <w:r w:rsidRPr="00720140">
        <w:t xml:space="preserve"> </w:t>
      </w:r>
      <w:r w:rsidRPr="00720140">
        <w:rPr>
          <w:i/>
          <w:iCs/>
        </w:rPr>
        <w:t>Secondness</w:t>
      </w:r>
      <w:r w:rsidRPr="00720140">
        <w:t xml:space="preserve"> </w:t>
      </w:r>
      <w:r w:rsidR="00C76A4A" w:rsidRPr="00720140">
        <w:t>may bring</w:t>
      </w:r>
      <w:r w:rsidR="007116B4" w:rsidRPr="00720140">
        <w:t xml:space="preserve"> (Cooke, 2011)</w:t>
      </w:r>
      <w:r w:rsidR="00C76A4A" w:rsidRPr="00720140">
        <w:t xml:space="preserve">, </w:t>
      </w:r>
      <w:r w:rsidR="004455A7" w:rsidRPr="00720140">
        <w:t>there take</w:t>
      </w:r>
      <w:r w:rsidR="00B27FF4" w:rsidRPr="00720140">
        <w:t>s</w:t>
      </w:r>
      <w:r w:rsidR="004455A7" w:rsidRPr="00720140">
        <w:t xml:space="preserve"> root </w:t>
      </w:r>
      <w:r w:rsidR="00B27FF4" w:rsidRPr="00720140">
        <w:t xml:space="preserve">generative </w:t>
      </w:r>
      <w:r w:rsidR="004455A7" w:rsidRPr="00720140">
        <w:t>possibilities for</w:t>
      </w:r>
      <w:r w:rsidRPr="00720140">
        <w:t xml:space="preserve"> growth</w:t>
      </w:r>
      <w:r w:rsidR="00C76A4A" w:rsidRPr="00720140">
        <w:t>, continuity</w:t>
      </w:r>
      <w:r w:rsidRPr="00720140">
        <w:t xml:space="preserve">, and </w:t>
      </w:r>
      <w:r w:rsidR="00B27FF4" w:rsidRPr="00720140">
        <w:t xml:space="preserve">for a swifter advance toward </w:t>
      </w:r>
      <w:r w:rsidRPr="00720140">
        <w:t>the relational ends of education</w:t>
      </w:r>
      <w:r w:rsidR="00B27FF4" w:rsidRPr="00720140">
        <w:t>. The phaneroscopic category of</w:t>
      </w:r>
      <w:r w:rsidRPr="00720140">
        <w:t xml:space="preserve"> </w:t>
      </w:r>
      <w:r w:rsidRPr="00720140">
        <w:rPr>
          <w:i/>
          <w:iCs/>
        </w:rPr>
        <w:t>Thirdness</w:t>
      </w:r>
      <w:r w:rsidRPr="00720140">
        <w:t xml:space="preserve"> </w:t>
      </w:r>
      <w:r w:rsidR="00B27FF4" w:rsidRPr="00720140">
        <w:t>unites</w:t>
      </w:r>
      <w:r w:rsidRPr="00720140">
        <w:t xml:space="preserve"> teaching and learning </w:t>
      </w:r>
      <w:r w:rsidR="004455A7" w:rsidRPr="00720140">
        <w:t>beneath the banner of “</w:t>
      </w:r>
      <w:r w:rsidR="00F71841" w:rsidRPr="00720140">
        <w:t xml:space="preserve">the </w:t>
      </w:r>
      <w:r w:rsidR="004455A7" w:rsidRPr="00720140">
        <w:t>will to learn</w:t>
      </w:r>
      <w:r w:rsidR="00D25121" w:rsidRPr="00720140">
        <w:t>.</w:t>
      </w:r>
      <w:r w:rsidR="004455A7" w:rsidRPr="00720140">
        <w:t>”</w:t>
      </w:r>
      <w:r w:rsidR="00C76A4A" w:rsidRPr="00720140">
        <w:t xml:space="preserve"> </w:t>
      </w:r>
      <w:r w:rsidR="00D25121" w:rsidRPr="00720140">
        <w:t xml:space="preserve">(CP, 1.135). Taken together, </w:t>
      </w:r>
      <w:r w:rsidR="00D01553" w:rsidRPr="00720140">
        <w:t>UDL</w:t>
      </w:r>
      <w:r w:rsidR="004455A7" w:rsidRPr="00720140">
        <w:t>’s</w:t>
      </w:r>
      <w:r w:rsidR="00D01553" w:rsidRPr="00720140">
        <w:t xml:space="preserve"> </w:t>
      </w:r>
      <w:r w:rsidR="00D25121" w:rsidRPr="00720140">
        <w:t>Guidelines</w:t>
      </w:r>
      <w:r w:rsidR="00D01553" w:rsidRPr="00720140">
        <w:t xml:space="preserve"> suggest an intriguing alignment with the future-directed concerns</w:t>
      </w:r>
      <w:r w:rsidR="00D9060A" w:rsidRPr="00720140">
        <w:t xml:space="preserve"> of Peircean semiotics, reaching, in the case of UDL, toward “universality,” and in the case of semiotics, toward ultimate agreement</w:t>
      </w:r>
      <w:r w:rsidR="00D25121" w:rsidRPr="00720140">
        <w:t xml:space="preserve"> by an open, limitless community</w:t>
      </w:r>
      <w:r w:rsidR="004455A7" w:rsidRPr="00720140">
        <w:t xml:space="preserve">. </w:t>
      </w:r>
      <w:r w:rsidR="00D9060A" w:rsidRPr="00720140">
        <w:t xml:space="preserve">What we might therefore identify as </w:t>
      </w:r>
      <w:r w:rsidR="004455A7" w:rsidRPr="00720140">
        <w:rPr>
          <w:i/>
          <w:iCs/>
        </w:rPr>
        <w:t>semiotic futurity</w:t>
      </w:r>
      <w:r w:rsidR="004455A7" w:rsidRPr="00720140">
        <w:t xml:space="preserve"> beckons from</w:t>
      </w:r>
      <w:r w:rsidR="00D9060A" w:rsidRPr="00720140">
        <w:t xml:space="preserve"> the realm of</w:t>
      </w:r>
      <w:r w:rsidR="004455A7" w:rsidRPr="00720140">
        <w:t xml:space="preserve"> </w:t>
      </w:r>
      <w:r w:rsidR="00C76A4A" w:rsidRPr="00720140">
        <w:rPr>
          <w:i/>
          <w:iCs/>
        </w:rPr>
        <w:t>Thirdness</w:t>
      </w:r>
      <w:r w:rsidR="004455A7" w:rsidRPr="00720140">
        <w:t>,</w:t>
      </w:r>
      <w:r w:rsidR="00C76A4A" w:rsidRPr="00720140">
        <w:t xml:space="preserve"> draw</w:t>
      </w:r>
      <w:r w:rsidR="004455A7" w:rsidRPr="00720140">
        <w:t>ing</w:t>
      </w:r>
      <w:r w:rsidR="00C76A4A" w:rsidRPr="00720140">
        <w:t xml:space="preserve"> out the educative possibilities of experience</w:t>
      </w:r>
      <w:r w:rsidR="00D9060A" w:rsidRPr="00720140">
        <w:t>s</w:t>
      </w:r>
      <w:r w:rsidR="004455A7" w:rsidRPr="00720140">
        <w:t xml:space="preserve"> that evolve, shift, and deepen</w:t>
      </w:r>
      <w:r w:rsidR="00C76A4A" w:rsidRPr="00720140">
        <w:t xml:space="preserve"> </w:t>
      </w:r>
      <w:r w:rsidR="00D9060A" w:rsidRPr="00720140">
        <w:t xml:space="preserve">along the path from the phaneroscopic to the semiotic, or, in more familiar words, </w:t>
      </w:r>
      <w:r w:rsidR="003A441E" w:rsidRPr="00720140">
        <w:t>“the passage from sensation to thought” (Short, 2010, p. 534).</w:t>
      </w:r>
    </w:p>
    <w:p w14:paraId="11A05480" w14:textId="299904B3" w:rsidR="001D1475" w:rsidRPr="00720140" w:rsidRDefault="001D1475" w:rsidP="001D1475">
      <w:r w:rsidRPr="00720140">
        <w:t>L</w:t>
      </w:r>
      <w:r w:rsidR="00C76A4A" w:rsidRPr="00720140">
        <w:t>atter-day exponents of Peircean pragmati</w:t>
      </w:r>
      <w:r w:rsidR="004455A7" w:rsidRPr="00720140">
        <w:t>ci</w:t>
      </w:r>
      <w:r w:rsidR="00C76A4A" w:rsidRPr="00720140">
        <w:t>sm have advanced the strong claim that</w:t>
      </w:r>
      <w:r w:rsidR="00C76A4A" w:rsidRPr="00720140" w:rsidDel="00C76A4A">
        <w:t xml:space="preserve"> </w:t>
      </w:r>
      <w:r w:rsidR="003A441E" w:rsidRPr="00720140">
        <w:t xml:space="preserve">“you cannot avoid basing your learning theory on </w:t>
      </w:r>
      <w:r w:rsidR="003A441E" w:rsidRPr="00720140">
        <w:rPr>
          <w:i/>
          <w:iCs/>
        </w:rPr>
        <w:t>some</w:t>
      </w:r>
      <w:r w:rsidR="003A441E" w:rsidRPr="00720140">
        <w:t xml:space="preserve"> theory of signs’” (Houser, 1987, p. 271).</w:t>
      </w:r>
      <w:r w:rsidR="00C76A4A" w:rsidRPr="00720140">
        <w:t xml:space="preserve"> Crucially for present purposes, </w:t>
      </w:r>
      <w:r w:rsidR="00C76A4A" w:rsidRPr="00720140">
        <w:rPr>
          <w:i/>
          <w:iCs/>
        </w:rPr>
        <w:t>Thirdness</w:t>
      </w:r>
      <w:r w:rsidR="00C76A4A" w:rsidRPr="00720140">
        <w:t xml:space="preserve"> highlights the reciprocal nature of learning, and </w:t>
      </w:r>
      <w:r w:rsidR="00D9060A" w:rsidRPr="00720140">
        <w:t>dissolves</w:t>
      </w:r>
      <w:r w:rsidR="00C76A4A" w:rsidRPr="00720140">
        <w:t xml:space="preserve"> the conventional separation of teaching and learning through </w:t>
      </w:r>
      <w:r w:rsidR="005D0295" w:rsidRPr="00720140">
        <w:t>the unified powers of the phaneroscopic and the semiotic. G</w:t>
      </w:r>
      <w:r w:rsidR="00C76A4A" w:rsidRPr="00720140">
        <w:t>oing further, we learn through signs</w:t>
      </w:r>
      <w:r w:rsidR="0078524B" w:rsidRPr="00720140">
        <w:t>:</w:t>
      </w:r>
      <w:r w:rsidR="00C76A4A" w:rsidRPr="00720140">
        <w:t xml:space="preserve"> signs become richer and more meaningful </w:t>
      </w:r>
      <w:r w:rsidR="00D9060A" w:rsidRPr="00720140">
        <w:t>owing to</w:t>
      </w:r>
      <w:r w:rsidR="00C76A4A" w:rsidRPr="00720140">
        <w:t xml:space="preserve"> our concerted interpretive work</w:t>
      </w:r>
      <w:r w:rsidR="005D0295" w:rsidRPr="00720140">
        <w:t xml:space="preserve"> within a community of</w:t>
      </w:r>
      <w:r w:rsidR="00B31CFA" w:rsidRPr="00720140">
        <w:t xml:space="preserve"> willful</w:t>
      </w:r>
      <w:r w:rsidR="005D0295" w:rsidRPr="00720140">
        <w:t xml:space="preserve"> learners</w:t>
      </w:r>
      <w:r w:rsidR="00C76A4A" w:rsidRPr="00720140">
        <w:t>:</w:t>
      </w:r>
      <w:r w:rsidR="00C76A4A" w:rsidRPr="00720140" w:rsidDel="00C76A4A">
        <w:t xml:space="preserve"> </w:t>
      </w:r>
      <w:r w:rsidR="003A441E" w:rsidRPr="00720140">
        <w:t>“the signs are not only our educators, but the sign users also educate the signs insofar as they begin to use signs in a different sense because of which the signs, in turn, acquire new meanings” (Nöth, 2018</w:t>
      </w:r>
      <w:r w:rsidR="0078524B" w:rsidRPr="00720140">
        <w:t>, p. 64</w:t>
      </w:r>
      <w:r w:rsidR="003A441E" w:rsidRPr="00720140">
        <w:t>; Nöth 2014).</w:t>
      </w:r>
    </w:p>
    <w:p w14:paraId="3DCAAAA4" w14:textId="786DEB16" w:rsidR="00A6197C" w:rsidRPr="00720140" w:rsidRDefault="006A102D" w:rsidP="005A2EE1">
      <w:r w:rsidRPr="00720140">
        <w:t xml:space="preserve">As with the sign-vehicle, and sign-object relationship, Peirce classifies the different ways in which signs generate meanings </w:t>
      </w:r>
      <w:r w:rsidR="001D1475" w:rsidRPr="00720140">
        <w:t>by bringing out certain features of the objec</w:t>
      </w:r>
      <w:r w:rsidR="00E71FA2" w:rsidRPr="00720140">
        <w:t xml:space="preserve">t, features which </w:t>
      </w:r>
      <w:r w:rsidR="00E71FA2" w:rsidRPr="00720140">
        <w:lastRenderedPageBreak/>
        <w:t xml:space="preserve">themselves become signs. Peirce’s </w:t>
      </w:r>
      <w:r w:rsidRPr="00720140">
        <w:t xml:space="preserve">specialized term </w:t>
      </w:r>
      <w:r w:rsidR="001D1475" w:rsidRPr="00720140">
        <w:t xml:space="preserve">for this </w:t>
      </w:r>
      <w:r w:rsidR="00E71FA2" w:rsidRPr="00720140">
        <w:t xml:space="preserve">semiotic </w:t>
      </w:r>
      <w:r w:rsidR="001D1475" w:rsidRPr="00720140">
        <w:t>process</w:t>
      </w:r>
      <w:r w:rsidR="00E71FA2" w:rsidRPr="00720140">
        <w:t xml:space="preserve">, and, </w:t>
      </w:r>
      <w:r w:rsidR="005D0295" w:rsidRPr="00720140">
        <w:t>notably</w:t>
      </w:r>
      <w:r w:rsidR="00E71FA2" w:rsidRPr="00720140">
        <w:t xml:space="preserve">, for the sign produced through the interaction of the sign-vehicle and object is </w:t>
      </w:r>
      <w:r w:rsidRPr="00720140">
        <w:t>“</w:t>
      </w:r>
      <w:r w:rsidRPr="00720140">
        <w:rPr>
          <w:i/>
          <w:iCs/>
        </w:rPr>
        <w:t>interpretant</w:t>
      </w:r>
      <w:r w:rsidR="00E71FA2" w:rsidRPr="00720140">
        <w:t>.” T</w:t>
      </w:r>
      <w:r w:rsidR="001D1475" w:rsidRPr="00720140">
        <w:t xml:space="preserve">hrough their relative </w:t>
      </w:r>
      <w:r w:rsidR="002449C7" w:rsidRPr="00720140">
        <w:t>degrees of</w:t>
      </w:r>
      <w:r w:rsidRPr="00720140">
        <w:t xml:space="preserve"> </w:t>
      </w:r>
      <w:r w:rsidRPr="00720140">
        <w:rPr>
          <w:i/>
          <w:iCs/>
        </w:rPr>
        <w:t>Firstness</w:t>
      </w:r>
      <w:r w:rsidRPr="00720140">
        <w:t xml:space="preserve">, </w:t>
      </w:r>
      <w:r w:rsidRPr="00720140">
        <w:rPr>
          <w:i/>
          <w:iCs/>
        </w:rPr>
        <w:t>Secondness</w:t>
      </w:r>
      <w:r w:rsidRPr="00720140">
        <w:t xml:space="preserve">, and </w:t>
      </w:r>
      <w:r w:rsidRPr="00720140">
        <w:rPr>
          <w:i/>
          <w:iCs/>
        </w:rPr>
        <w:t>Thirdness</w:t>
      </w:r>
      <w:r w:rsidR="00E71FA2" w:rsidRPr="00720140">
        <w:t>,</w:t>
      </w:r>
      <w:r w:rsidRPr="00720140">
        <w:t xml:space="preserve"> </w:t>
      </w:r>
      <w:r w:rsidR="00E71FA2" w:rsidRPr="00720140">
        <w:t>these interpretants</w:t>
      </w:r>
      <w:r w:rsidR="001D1475" w:rsidRPr="00720140">
        <w:t>, or signifying effects may unfold as q</w:t>
      </w:r>
      <w:r w:rsidRPr="00720140">
        <w:t>ualitative possibilit</w:t>
      </w:r>
      <w:r w:rsidR="001D1475" w:rsidRPr="00720140">
        <w:t>ies</w:t>
      </w:r>
      <w:r w:rsidR="00FB1151" w:rsidRPr="00720140">
        <w:t xml:space="preserve"> (</w:t>
      </w:r>
      <w:r w:rsidR="00FB1151" w:rsidRPr="00720140">
        <w:rPr>
          <w:i/>
          <w:iCs/>
        </w:rPr>
        <w:t>rhemes</w:t>
      </w:r>
      <w:r w:rsidR="00FB1151" w:rsidRPr="00720140">
        <w:t>),</w:t>
      </w:r>
      <w:r w:rsidRPr="00720140">
        <w:t xml:space="preserve"> </w:t>
      </w:r>
      <w:r w:rsidR="00A47401" w:rsidRPr="00720140">
        <w:t>as individual assertions or statements about what is the case</w:t>
      </w:r>
      <w:r w:rsidR="00060326" w:rsidRPr="00720140">
        <w:t>, or a single example of something</w:t>
      </w:r>
      <w:r w:rsidR="00A47401" w:rsidRPr="00720140">
        <w:t xml:space="preserve"> (</w:t>
      </w:r>
      <w:r w:rsidR="00A47401" w:rsidRPr="00720140">
        <w:rPr>
          <w:i/>
          <w:iCs/>
        </w:rPr>
        <w:t>dicisigns</w:t>
      </w:r>
      <w:r w:rsidR="00A47401" w:rsidRPr="00720140">
        <w:t>), or as “</w:t>
      </w:r>
      <w:r w:rsidR="00A47401" w:rsidRPr="00720140">
        <w:rPr>
          <w:i/>
          <w:iCs/>
        </w:rPr>
        <w:t>a general principle</w:t>
      </w:r>
      <w:r w:rsidR="00A47401" w:rsidRPr="00720140">
        <w:t xml:space="preserve"> that can be applied universally” (</w:t>
      </w:r>
      <w:r w:rsidR="00A47401" w:rsidRPr="00720140">
        <w:rPr>
          <w:i/>
          <w:iCs/>
        </w:rPr>
        <w:t>arguments</w:t>
      </w:r>
      <w:r w:rsidR="00A47401" w:rsidRPr="00720140">
        <w:t xml:space="preserve">) </w:t>
      </w:r>
      <w:r w:rsidRPr="00720140">
        <w:t>(</w:t>
      </w:r>
      <w:r w:rsidR="00A47401" w:rsidRPr="00720140">
        <w:t>Plowright, 2016, p.70; emphasis supplied</w:t>
      </w:r>
      <w:r w:rsidRPr="00720140">
        <w:t>)</w:t>
      </w:r>
      <w:r w:rsidR="00A6197C" w:rsidRPr="00720140">
        <w:t>.</w:t>
      </w:r>
    </w:p>
    <w:p w14:paraId="4BEF3F65" w14:textId="12529A0D" w:rsidR="004868DE" w:rsidRPr="00720140" w:rsidRDefault="00A6197C" w:rsidP="004868DE">
      <w:r w:rsidRPr="00720140">
        <w:t xml:space="preserve">Here I offer several concrete examples of how </w:t>
      </w:r>
      <w:r w:rsidR="00FB1151" w:rsidRPr="00720140">
        <w:t xml:space="preserve">attending closely to </w:t>
      </w:r>
      <w:r w:rsidR="0078524B" w:rsidRPr="00720140">
        <w:t xml:space="preserve">qualitative </w:t>
      </w:r>
      <w:r w:rsidRPr="00720140">
        <w:t xml:space="preserve">aspects, </w:t>
      </w:r>
      <w:r w:rsidR="0078524B" w:rsidRPr="00720140">
        <w:t xml:space="preserve">physical </w:t>
      </w:r>
      <w:r w:rsidRPr="00720140">
        <w:t xml:space="preserve">objects, and </w:t>
      </w:r>
      <w:r w:rsidR="0078524B" w:rsidRPr="00720140">
        <w:t xml:space="preserve">familiar </w:t>
      </w:r>
      <w:r w:rsidRPr="00720140">
        <w:t xml:space="preserve">features of our learning environments can incorporate </w:t>
      </w:r>
      <w:r w:rsidR="00FB1151" w:rsidRPr="00720140">
        <w:t xml:space="preserve">this </w:t>
      </w:r>
      <w:r w:rsidRPr="00720140">
        <w:t xml:space="preserve">Peircean </w:t>
      </w:r>
      <w:r w:rsidR="00FB1151" w:rsidRPr="00720140">
        <w:t>understanding of how signs relate to their interpretants</w:t>
      </w:r>
      <w:r w:rsidRPr="00720140">
        <w:t>, not necessarily of new knowledge</w:t>
      </w:r>
      <w:r w:rsidR="0078524B" w:rsidRPr="00720140">
        <w:t>,</w:t>
      </w:r>
      <w:r w:rsidRPr="00720140">
        <w:t xml:space="preserve"> but</w:t>
      </w:r>
      <w:r w:rsidR="0078524B" w:rsidRPr="00720140">
        <w:t>,</w:t>
      </w:r>
      <w:r w:rsidRPr="00720140">
        <w:t xml:space="preserve"> </w:t>
      </w:r>
      <w:r w:rsidR="0078524B" w:rsidRPr="00720140">
        <w:t xml:space="preserve">perhaps more modestly, </w:t>
      </w:r>
      <w:r w:rsidRPr="00720140">
        <w:t xml:space="preserve">of fresh perspectives on </w:t>
      </w:r>
      <w:r w:rsidR="0078524B" w:rsidRPr="00720140">
        <w:t>what we have come to take as the given in our universities</w:t>
      </w:r>
      <w:r w:rsidRPr="00720140">
        <w:t xml:space="preserve">. Rather </w:t>
      </w:r>
      <w:r w:rsidR="0078524B" w:rsidRPr="00720140">
        <w:t>than</w:t>
      </w:r>
      <w:r w:rsidRPr="00720140">
        <w:t xml:space="preserve"> </w:t>
      </w:r>
      <w:r w:rsidR="0078524B" w:rsidRPr="00720140">
        <w:t xml:space="preserve">picking out </w:t>
      </w:r>
      <w:r w:rsidRPr="00720140">
        <w:t xml:space="preserve">Peirce’s own </w:t>
      </w:r>
      <w:r w:rsidR="0078524B" w:rsidRPr="00720140">
        <w:t xml:space="preserve">examples </w:t>
      </w:r>
      <w:r w:rsidRPr="00720140">
        <w:t xml:space="preserve">of different sign-types, I offer </w:t>
      </w:r>
      <w:r w:rsidR="0078524B" w:rsidRPr="00720140">
        <w:t>ones</w:t>
      </w:r>
      <w:r w:rsidRPr="00720140">
        <w:t xml:space="preserve"> that </w:t>
      </w:r>
      <w:r w:rsidR="0078524B" w:rsidRPr="00720140">
        <w:t>might serve as an approximate guide to</w:t>
      </w:r>
      <w:r w:rsidRPr="00720140">
        <w:t xml:space="preserve"> how UDL, informed by phaneroscopy and semiotic</w:t>
      </w:r>
      <w:r w:rsidR="005B3CC8" w:rsidRPr="00720140">
        <w:t>,</w:t>
      </w:r>
      <w:r w:rsidRPr="00720140">
        <w:t xml:space="preserve"> might proceed. Here, I resituate them to illustrate my own interest in </w:t>
      </w:r>
      <w:r w:rsidR="0078524B" w:rsidRPr="00720140">
        <w:t xml:space="preserve">how a phaneroscopy of UDL might evolve into a semiotic process that pinpoint and map </w:t>
      </w:r>
      <w:r w:rsidRPr="00720140">
        <w:rPr>
          <w:i/>
          <w:iCs/>
        </w:rPr>
        <w:t xml:space="preserve">signs of </w:t>
      </w:r>
      <w:r w:rsidR="0078524B" w:rsidRPr="00720140">
        <w:rPr>
          <w:i/>
          <w:iCs/>
        </w:rPr>
        <w:t>(im)</w:t>
      </w:r>
      <w:r w:rsidRPr="00720140">
        <w:rPr>
          <w:i/>
          <w:iCs/>
        </w:rPr>
        <w:t>possibility</w:t>
      </w:r>
      <w:r w:rsidRPr="00720140">
        <w:t xml:space="preserve"> </w:t>
      </w:r>
      <w:r w:rsidR="0078524B" w:rsidRPr="00720140">
        <w:t>in disability access</w:t>
      </w:r>
      <w:r w:rsidRPr="00720140">
        <w:t xml:space="preserve">. </w:t>
      </w:r>
      <w:r w:rsidR="005B3CC8" w:rsidRPr="00720140">
        <w:t>I</w:t>
      </w:r>
      <w:r w:rsidR="001D1475" w:rsidRPr="00720140">
        <w:t xml:space="preserve">n </w:t>
      </w:r>
      <w:r w:rsidR="00A47401" w:rsidRPr="00720140">
        <w:t xml:space="preserve">this way of approaching UDL, </w:t>
      </w:r>
      <w:r w:rsidR="006A102D" w:rsidRPr="00720140">
        <w:rPr>
          <w:i/>
          <w:iCs/>
        </w:rPr>
        <w:t>rheme</w:t>
      </w:r>
      <w:r w:rsidR="001D1475" w:rsidRPr="00720140">
        <w:rPr>
          <w:i/>
          <w:iCs/>
        </w:rPr>
        <w:t>s</w:t>
      </w:r>
      <w:r w:rsidR="00060326" w:rsidRPr="00720140">
        <w:t xml:space="preserve"> </w:t>
      </w:r>
      <w:r w:rsidR="005D0295" w:rsidRPr="00720140">
        <w:t>might include</w:t>
      </w:r>
      <w:r w:rsidR="006A102D" w:rsidRPr="00720140">
        <w:t xml:space="preserve"> the </w:t>
      </w:r>
      <w:r w:rsidR="00060326" w:rsidRPr="00720140">
        <w:t>visual, and tactile qualities</w:t>
      </w:r>
      <w:r w:rsidR="006A102D" w:rsidRPr="00720140">
        <w:t xml:space="preserve"> of a </w:t>
      </w:r>
      <w:r w:rsidR="00060326" w:rsidRPr="00720140">
        <w:t xml:space="preserve">course </w:t>
      </w:r>
      <w:r w:rsidR="006A102D" w:rsidRPr="00720140">
        <w:t xml:space="preserve">syllabus that incorporates </w:t>
      </w:r>
      <w:r w:rsidR="00060326" w:rsidRPr="00720140">
        <w:t xml:space="preserve">(or fails to adhere to) </w:t>
      </w:r>
      <w:r w:rsidRPr="00720140">
        <w:t>UDL</w:t>
      </w:r>
      <w:r w:rsidR="006A102D" w:rsidRPr="00720140">
        <w:t xml:space="preserve"> principles</w:t>
      </w:r>
      <w:r w:rsidR="002449C7" w:rsidRPr="00720140">
        <w:t xml:space="preserve">. Because such a syllabus is a </w:t>
      </w:r>
      <w:r w:rsidR="002449C7" w:rsidRPr="00720140">
        <w:rPr>
          <w:i/>
          <w:iCs/>
        </w:rPr>
        <w:t xml:space="preserve">possible </w:t>
      </w:r>
      <w:r w:rsidR="002449C7" w:rsidRPr="00720140">
        <w:t xml:space="preserve">object, it constitutes a </w:t>
      </w:r>
      <w:r w:rsidR="002449C7" w:rsidRPr="00720140">
        <w:rPr>
          <w:i/>
          <w:iCs/>
        </w:rPr>
        <w:t>rheme</w:t>
      </w:r>
      <w:r w:rsidR="002449C7" w:rsidRPr="00720140">
        <w:t>.</w:t>
      </w:r>
      <w:r w:rsidR="006A102D" w:rsidRPr="00720140">
        <w:t xml:space="preserve"> </w:t>
      </w:r>
      <w:r w:rsidR="002449C7" w:rsidRPr="00720140">
        <w:t>S</w:t>
      </w:r>
      <w:r w:rsidR="006A102D" w:rsidRPr="00720140">
        <w:t>pecific instance</w:t>
      </w:r>
      <w:r w:rsidR="00E71FA2" w:rsidRPr="00720140">
        <w:t>s</w:t>
      </w:r>
      <w:r w:rsidR="006A102D" w:rsidRPr="00720140">
        <w:t xml:space="preserve"> of </w:t>
      </w:r>
      <w:r w:rsidR="002449C7" w:rsidRPr="00720140">
        <w:t>UDL practiced within a community of learners are embodied as</w:t>
      </w:r>
      <w:r w:rsidR="006A102D" w:rsidRPr="00720140">
        <w:t xml:space="preserve"> </w:t>
      </w:r>
      <w:r w:rsidR="006A102D" w:rsidRPr="00720140">
        <w:rPr>
          <w:i/>
          <w:iCs/>
        </w:rPr>
        <w:t>d</w:t>
      </w:r>
      <w:r w:rsidR="00E71FA2" w:rsidRPr="00720140">
        <w:rPr>
          <w:i/>
          <w:iCs/>
        </w:rPr>
        <w:t>icisigns</w:t>
      </w:r>
      <w:r w:rsidR="006A102D" w:rsidRPr="00720140">
        <w:t>: for example, an excerpt from a video recording prefaced by verbal description and accompanied by closed captioning</w:t>
      </w:r>
      <w:r w:rsidR="00060326" w:rsidRPr="00720140">
        <w:t>.</w:t>
      </w:r>
      <w:r w:rsidR="006A102D" w:rsidRPr="00720140">
        <w:t xml:space="preserve"> </w:t>
      </w:r>
      <w:r w:rsidR="00060326" w:rsidRPr="00720140">
        <w:t>Pursuing our conception where it may lead, of UDL as involving signs and sign-interpretation</w:t>
      </w:r>
      <w:r w:rsidR="006A102D" w:rsidRPr="00720140">
        <w:t xml:space="preserve"> </w:t>
      </w:r>
      <w:r w:rsidR="00060326" w:rsidRPr="00720140">
        <w:t>we reach the third level, that of generalizations expressed in</w:t>
      </w:r>
      <w:r w:rsidR="00E71FA2" w:rsidRPr="00720140">
        <w:t xml:space="preserve"> </w:t>
      </w:r>
      <w:r w:rsidR="006A102D" w:rsidRPr="00720140">
        <w:rPr>
          <w:i/>
          <w:iCs/>
        </w:rPr>
        <w:t>argument</w:t>
      </w:r>
      <w:r w:rsidR="00E71FA2" w:rsidRPr="00720140">
        <w:rPr>
          <w:i/>
          <w:iCs/>
        </w:rPr>
        <w:t>s</w:t>
      </w:r>
      <w:r w:rsidR="00A4543B" w:rsidRPr="00720140">
        <w:t>.</w:t>
      </w:r>
      <w:r w:rsidR="000315A5" w:rsidRPr="00720140">
        <w:t xml:space="preserve"> </w:t>
      </w:r>
      <w:r w:rsidR="00A4543B" w:rsidRPr="00720140">
        <w:t>C</w:t>
      </w:r>
      <w:r w:rsidR="00E71FA2" w:rsidRPr="00720140">
        <w:t xml:space="preserve">onsider, </w:t>
      </w:r>
      <w:r w:rsidR="006A102D" w:rsidRPr="00720140">
        <w:t>for example, the UDL principles discussed in this paper</w:t>
      </w:r>
      <w:r w:rsidR="00E71FA2" w:rsidRPr="00720140">
        <w:t>.</w:t>
      </w:r>
      <w:r w:rsidR="006A102D" w:rsidRPr="00720140">
        <w:t xml:space="preserve"> </w:t>
      </w:r>
      <w:r w:rsidR="00E71FA2" w:rsidRPr="00720140">
        <w:t xml:space="preserve">Both the </w:t>
      </w:r>
      <w:r w:rsidR="00060326" w:rsidRPr="00720140">
        <w:t xml:space="preserve">UDL </w:t>
      </w:r>
      <w:r w:rsidR="00E41E0D" w:rsidRPr="00720140">
        <w:t>G</w:t>
      </w:r>
      <w:r w:rsidR="00060326" w:rsidRPr="00720140">
        <w:t>uidelines</w:t>
      </w:r>
      <w:r w:rsidR="00E71FA2" w:rsidRPr="00720140">
        <w:t xml:space="preserve"> themselves</w:t>
      </w:r>
      <w:r w:rsidR="00060326" w:rsidRPr="00720140">
        <w:t xml:space="preserve"> (</w:t>
      </w:r>
      <w:r w:rsidR="00060326" w:rsidRPr="00720140">
        <w:rPr>
          <w:i/>
          <w:iCs/>
        </w:rPr>
        <w:t>arguments</w:t>
      </w:r>
      <w:r w:rsidR="00060326" w:rsidRPr="00720140">
        <w:t>)</w:t>
      </w:r>
      <w:r w:rsidR="00E71FA2" w:rsidRPr="00720140">
        <w:t xml:space="preserve">, and my </w:t>
      </w:r>
      <w:r w:rsidR="00E71FA2" w:rsidRPr="00720140">
        <w:lastRenderedPageBreak/>
        <w:t xml:space="preserve">own interpretation of their </w:t>
      </w:r>
      <w:r w:rsidR="00BE1D09" w:rsidRPr="00720140">
        <w:t>phaneroscopic and semiotic potential</w:t>
      </w:r>
      <w:r w:rsidR="00E71FA2" w:rsidRPr="00720140">
        <w:t xml:space="preserve"> </w:t>
      </w:r>
      <w:r w:rsidR="00060326" w:rsidRPr="00720140">
        <w:t xml:space="preserve">(a fluid and dynamic mix of </w:t>
      </w:r>
      <w:r w:rsidR="00060326" w:rsidRPr="00720140">
        <w:rPr>
          <w:i/>
          <w:iCs/>
        </w:rPr>
        <w:t xml:space="preserve">rhemes </w:t>
      </w:r>
      <w:r w:rsidR="00060326" w:rsidRPr="00720140">
        <w:t xml:space="preserve">and </w:t>
      </w:r>
      <w:r w:rsidR="00060326" w:rsidRPr="00720140">
        <w:rPr>
          <w:i/>
          <w:iCs/>
        </w:rPr>
        <w:t>dicisigns</w:t>
      </w:r>
      <w:r w:rsidR="00060326" w:rsidRPr="00720140">
        <w:t xml:space="preserve">) </w:t>
      </w:r>
      <w:r w:rsidR="006A102D" w:rsidRPr="00720140">
        <w:t xml:space="preserve">might provide the focus of a class discussion in which students can participate </w:t>
      </w:r>
      <w:r w:rsidR="00060326" w:rsidRPr="00720140">
        <w:t>either</w:t>
      </w:r>
      <w:r w:rsidR="006A102D" w:rsidRPr="00720140">
        <w:t xml:space="preserve"> verbally</w:t>
      </w:r>
      <w:r w:rsidR="00060326" w:rsidRPr="00720140">
        <w:t xml:space="preserve">, or, depending on their access needs, </w:t>
      </w:r>
      <w:r w:rsidR="006A102D" w:rsidRPr="00720140">
        <w:t>writ</w:t>
      </w:r>
      <w:r w:rsidR="00060326" w:rsidRPr="00720140">
        <w:t>e</w:t>
      </w:r>
      <w:r w:rsidR="006A102D" w:rsidRPr="00720140">
        <w:t xml:space="preserve"> their </w:t>
      </w:r>
      <w:r w:rsidR="00060326" w:rsidRPr="00720140">
        <w:t>thoughts out</w:t>
      </w:r>
      <w:r w:rsidR="00D002B8" w:rsidRPr="00720140">
        <w:t xml:space="preserve"> on paper, or on an electronic device</w:t>
      </w:r>
      <w:r w:rsidR="00060326" w:rsidRPr="00720140">
        <w:t>, for a peer volunteer or the instructor to share with the class</w:t>
      </w:r>
      <w:r w:rsidR="006A102D" w:rsidRPr="00720140">
        <w:t xml:space="preserve"> </w:t>
      </w:r>
      <w:r w:rsidR="001D1475" w:rsidRPr="00720140">
        <w:t>(</w:t>
      </w:r>
      <w:r w:rsidR="006A102D" w:rsidRPr="00720140">
        <w:t>Dolmage, 2017).</w:t>
      </w:r>
      <w:r w:rsidR="00E71FA2" w:rsidRPr="00720140">
        <w:t xml:space="preserve"> </w:t>
      </w:r>
      <w:r w:rsidR="00BE5631" w:rsidRPr="00720140">
        <w:t xml:space="preserve">As these examples indicate, </w:t>
      </w:r>
      <w:r w:rsidR="00060326" w:rsidRPr="00720140">
        <w:t>this combined phaneroscopic</w:t>
      </w:r>
      <w:r w:rsidR="00BE5631" w:rsidRPr="00720140">
        <w:t xml:space="preserve"> and semiotic approach to </w:t>
      </w:r>
      <w:r w:rsidR="00A4543B" w:rsidRPr="00720140">
        <w:t>U</w:t>
      </w:r>
      <w:r w:rsidR="00BE5631" w:rsidRPr="00720140">
        <w:t xml:space="preserve">DL </w:t>
      </w:r>
      <w:r w:rsidR="00E71FA2" w:rsidRPr="00720140">
        <w:t>enabl</w:t>
      </w:r>
      <w:r w:rsidR="00C130FC" w:rsidRPr="00720140">
        <w:t>es</w:t>
      </w:r>
      <w:r w:rsidR="00E71FA2" w:rsidRPr="00720140">
        <w:t xml:space="preserve"> us to “</w:t>
      </w:r>
      <w:r w:rsidR="003A441E" w:rsidRPr="00720140">
        <w:t>learn by studying the objects of knowledge by direct experience of them, or from meanings attributed to them in sentences, texts or books, which are verbal interpretants of these objects” (Nöth, 2018, p. 64).</w:t>
      </w:r>
    </w:p>
    <w:p w14:paraId="49EBD1D6" w14:textId="529FC240" w:rsidR="00157B40" w:rsidRPr="00720140" w:rsidRDefault="00060326" w:rsidP="00E820D7">
      <w:r w:rsidRPr="00720140">
        <w:t xml:space="preserve">Peircean pragmaticism </w:t>
      </w:r>
      <w:r w:rsidR="0097586A" w:rsidRPr="00720140">
        <w:t xml:space="preserve">rests on the promise of future agreement on the meaning of signs within a community of inquiry. At present, </w:t>
      </w:r>
      <w:r w:rsidR="00D002B8" w:rsidRPr="00720140">
        <w:t xml:space="preserve">however, </w:t>
      </w:r>
      <w:r w:rsidR="0097586A" w:rsidRPr="00720140">
        <w:t xml:space="preserve">there is </w:t>
      </w:r>
      <w:r w:rsidR="005B6BCF" w:rsidRPr="00720140">
        <w:t xml:space="preserve">strong disagreement within higher education communities about </w:t>
      </w:r>
      <w:r w:rsidR="00070619" w:rsidRPr="00720140">
        <w:t>UDL’s benefits, pitfalls, and discursive habits</w:t>
      </w:r>
      <w:r w:rsidR="0097586A" w:rsidRPr="00720140">
        <w:t xml:space="preserve">. Often, too, there </w:t>
      </w:r>
      <w:r w:rsidR="00E71FA2" w:rsidRPr="00720140">
        <w:t xml:space="preserve">are clashing perspectives </w:t>
      </w:r>
      <w:r w:rsidR="00907935" w:rsidRPr="00720140">
        <w:t>over</w:t>
      </w:r>
      <w:r w:rsidR="0097586A" w:rsidRPr="00720140">
        <w:t xml:space="preserve"> terminology</w:t>
      </w:r>
      <w:r w:rsidR="00D002B8" w:rsidRPr="00720140">
        <w:t xml:space="preserve"> (Goegan et al., 2018)</w:t>
      </w:r>
      <w:r w:rsidR="0097586A" w:rsidRPr="00720140">
        <w:t>.</w:t>
      </w:r>
      <w:r w:rsidR="00D40FBD" w:rsidRPr="00720140">
        <w:t xml:space="preserve"> </w:t>
      </w:r>
      <w:r w:rsidR="00FA6979" w:rsidRPr="00720140">
        <w:t>UDL’s rhetorical emphasis on “multiple means”</w:t>
      </w:r>
      <w:r w:rsidR="00FA67A2" w:rsidRPr="00720140">
        <w:t xml:space="preserve"> </w:t>
      </w:r>
      <w:r w:rsidR="00D55081" w:rsidRPr="00720140">
        <w:t>to systematically address</w:t>
      </w:r>
      <w:r w:rsidR="00FA67A2" w:rsidRPr="00720140">
        <w:t xml:space="preserve"> the various parts of educational interaction</w:t>
      </w:r>
      <w:r w:rsidR="00FA6979" w:rsidRPr="00720140">
        <w:t>s</w:t>
      </w:r>
      <w:r w:rsidR="00FA67A2" w:rsidRPr="00720140">
        <w:t xml:space="preserve"> </w:t>
      </w:r>
      <w:r w:rsidR="00D002B8" w:rsidRPr="00720140">
        <w:t xml:space="preserve">is </w:t>
      </w:r>
      <w:r w:rsidR="00B04764" w:rsidRPr="00720140">
        <w:t>difficult to frame in concrete language</w:t>
      </w:r>
      <w:r w:rsidR="00FA67A2" w:rsidRPr="00720140">
        <w:t xml:space="preserve">. Peirce’s architectonic philosophy of pragmatism is helpful in this regard, because </w:t>
      </w:r>
      <w:r w:rsidR="00D55081" w:rsidRPr="00720140">
        <w:t>his phaneroscopy, with its</w:t>
      </w:r>
      <w:r w:rsidR="00B04764" w:rsidRPr="00720140">
        <w:t xml:space="preserve"> categories of </w:t>
      </w:r>
      <w:r w:rsidR="00B04764" w:rsidRPr="00720140">
        <w:rPr>
          <w:i/>
          <w:iCs/>
        </w:rPr>
        <w:t>Firstness</w:t>
      </w:r>
      <w:r w:rsidR="00B04764" w:rsidRPr="00720140">
        <w:t xml:space="preserve">, </w:t>
      </w:r>
      <w:r w:rsidR="00B04764" w:rsidRPr="00720140">
        <w:rPr>
          <w:i/>
          <w:iCs/>
        </w:rPr>
        <w:t>Secondness</w:t>
      </w:r>
      <w:r w:rsidR="00B04764" w:rsidRPr="00720140">
        <w:t xml:space="preserve">, and </w:t>
      </w:r>
      <w:r w:rsidR="00B04764" w:rsidRPr="00720140">
        <w:rPr>
          <w:i/>
          <w:iCs/>
        </w:rPr>
        <w:t>Thirdness</w:t>
      </w:r>
      <w:r w:rsidR="00B04764" w:rsidRPr="00720140">
        <w:t xml:space="preserve">, </w:t>
      </w:r>
      <w:r w:rsidR="00257DB8" w:rsidRPr="00720140">
        <w:t>recognizes vagueness</w:t>
      </w:r>
      <w:r w:rsidR="00FA67A2" w:rsidRPr="00720140">
        <w:t xml:space="preserve"> as an irreducible experience</w:t>
      </w:r>
      <w:r w:rsidR="00AB37C7" w:rsidRPr="00720140">
        <w:t xml:space="preserve"> itself</w:t>
      </w:r>
      <w:r w:rsidR="00754DEE" w:rsidRPr="00720140">
        <w:t xml:space="preserve">, </w:t>
      </w:r>
      <w:r w:rsidR="00257DB8" w:rsidRPr="00720140">
        <w:t>one that forms</w:t>
      </w:r>
      <w:r w:rsidR="00AB37C7" w:rsidRPr="00720140">
        <w:t xml:space="preserve"> </w:t>
      </w:r>
      <w:r w:rsidR="00754DEE" w:rsidRPr="00720140">
        <w:t>the bedrock of all subsequent experience and inquiry</w:t>
      </w:r>
      <w:r w:rsidR="00FA67A2" w:rsidRPr="00720140">
        <w:t>.</w:t>
      </w:r>
      <w:r w:rsidR="00D002B8" w:rsidRPr="00720140">
        <w:t xml:space="preserve"> </w:t>
      </w:r>
      <w:r w:rsidR="00AB37C7" w:rsidRPr="00720140">
        <w:t xml:space="preserve">By finding common cause as </w:t>
      </w:r>
      <w:r w:rsidR="00C516AD" w:rsidRPr="00720140">
        <w:t xml:space="preserve">part of </w:t>
      </w:r>
      <w:r w:rsidR="00AB37C7" w:rsidRPr="00720140">
        <w:t>a community of learners,</w:t>
      </w:r>
      <w:r w:rsidR="00AB75E0" w:rsidRPr="00720140">
        <w:t xml:space="preserve"> t</w:t>
      </w:r>
      <w:r w:rsidR="00561B3D" w:rsidRPr="00720140">
        <w:t xml:space="preserve">eachers and </w:t>
      </w:r>
      <w:r w:rsidR="00AB37C7" w:rsidRPr="00720140">
        <w:t xml:space="preserve">students </w:t>
      </w:r>
      <w:r w:rsidR="00561B3D" w:rsidRPr="00720140">
        <w:t xml:space="preserve">can </w:t>
      </w:r>
      <w:r w:rsidR="00DE3950" w:rsidRPr="00720140">
        <w:t>derive</w:t>
      </w:r>
      <w:r w:rsidR="00561B3D" w:rsidRPr="00720140">
        <w:t xml:space="preserve"> benefit from asking the kinds of questions about </w:t>
      </w:r>
      <w:r w:rsidR="00AB37C7" w:rsidRPr="00720140">
        <w:t>educational interactions and processes</w:t>
      </w:r>
      <w:r w:rsidR="00561B3D" w:rsidRPr="00720140">
        <w:t xml:space="preserve"> that sign interpreters ask</w:t>
      </w:r>
      <w:r w:rsidR="00AB37C7" w:rsidRPr="00720140">
        <w:t xml:space="preserve"> about interactive and processual elements</w:t>
      </w:r>
      <w:r w:rsidR="00C516AD" w:rsidRPr="00720140">
        <w:t xml:space="preserve"> picked out from the phaneron</w:t>
      </w:r>
      <w:r w:rsidR="00AB75E0" w:rsidRPr="00720140">
        <w:t>.</w:t>
      </w:r>
    </w:p>
    <w:p w14:paraId="5FB474D4" w14:textId="6D9349AF" w:rsidR="00AE2471" w:rsidRPr="00720140" w:rsidRDefault="00DC361F" w:rsidP="00AE2471">
      <w:r w:rsidRPr="00720140">
        <w:rPr>
          <w:rFonts w:cs="Galliard-Roman"/>
        </w:rPr>
        <w:t xml:space="preserve">The </w:t>
      </w:r>
      <w:r w:rsidR="0096439F" w:rsidRPr="00720140">
        <w:rPr>
          <w:rFonts w:cs="Galliard-Roman"/>
        </w:rPr>
        <w:t>scholarly literature</w:t>
      </w:r>
      <w:r w:rsidRPr="00720140">
        <w:rPr>
          <w:rFonts w:cs="Galliard-Roman"/>
        </w:rPr>
        <w:t xml:space="preserve"> in Disability Studies makes powerful</w:t>
      </w:r>
      <w:r w:rsidR="0096439F" w:rsidRPr="00720140">
        <w:rPr>
          <w:rFonts w:cs="Galliard-Roman"/>
        </w:rPr>
        <w:t xml:space="preserve"> argument</w:t>
      </w:r>
      <w:r w:rsidRPr="00720140">
        <w:rPr>
          <w:rFonts w:cs="Galliard-Roman"/>
        </w:rPr>
        <w:t>s</w:t>
      </w:r>
      <w:r w:rsidR="0096439F" w:rsidRPr="00720140">
        <w:rPr>
          <w:rFonts w:cs="Galliard-Roman"/>
        </w:rPr>
        <w:t xml:space="preserve"> against </w:t>
      </w:r>
      <w:r w:rsidR="004275BD" w:rsidRPr="00720140">
        <w:rPr>
          <w:rFonts w:cs="Galliard-Roman"/>
        </w:rPr>
        <w:t xml:space="preserve">treating </w:t>
      </w:r>
      <w:r w:rsidRPr="00720140">
        <w:rPr>
          <w:rFonts w:cs="Galliard-Roman"/>
        </w:rPr>
        <w:t>accessibility</w:t>
      </w:r>
      <w:r w:rsidR="004275BD" w:rsidRPr="00720140">
        <w:rPr>
          <w:rFonts w:cs="Galliard-Roman"/>
        </w:rPr>
        <w:t>, like disability itself, as a problem with individual</w:t>
      </w:r>
      <w:r w:rsidR="00257DB8" w:rsidRPr="00720140">
        <w:rPr>
          <w:rFonts w:cs="Galliard-Roman"/>
        </w:rPr>
        <w:t xml:space="preserve"> bodies, minds, and places</w:t>
      </w:r>
      <w:r w:rsidR="004275BD" w:rsidRPr="00720140">
        <w:rPr>
          <w:rFonts w:cs="Galliard-Roman"/>
        </w:rPr>
        <w:t xml:space="preserve"> </w:t>
      </w:r>
      <w:r w:rsidR="00257DB8" w:rsidRPr="00720140">
        <w:rPr>
          <w:rFonts w:cs="Galliard-Roman"/>
        </w:rPr>
        <w:t>rather than as an intersubjective, relational experience</w:t>
      </w:r>
      <w:r w:rsidRPr="00720140">
        <w:rPr>
          <w:rFonts w:cs="Galliard-Roman"/>
        </w:rPr>
        <w:t>.</w:t>
      </w:r>
      <w:r w:rsidR="009E14DF" w:rsidRPr="00720140" w:rsidDel="009E14DF">
        <w:rPr>
          <w:rFonts w:cs="Galliard-Roman"/>
        </w:rPr>
        <w:t xml:space="preserve"> </w:t>
      </w:r>
      <w:r w:rsidR="00DE3950" w:rsidRPr="00720140">
        <w:rPr>
          <w:rFonts w:cs="Galliard-Roman"/>
        </w:rPr>
        <w:t xml:space="preserve">The </w:t>
      </w:r>
      <w:r w:rsidR="00CF7887" w:rsidRPr="00720140">
        <w:rPr>
          <w:rFonts w:cs="Galliard-Roman"/>
        </w:rPr>
        <w:t xml:space="preserve">advocacy for phaneroscopy and semiotic </w:t>
      </w:r>
      <w:r w:rsidR="00CF7887" w:rsidRPr="00720140">
        <w:rPr>
          <w:rFonts w:cs="Galliard-Roman"/>
        </w:rPr>
        <w:lastRenderedPageBreak/>
        <w:t>advanced in</w:t>
      </w:r>
      <w:r w:rsidR="00DE3950" w:rsidRPr="00720140">
        <w:rPr>
          <w:rFonts w:cs="Galliard-Roman"/>
        </w:rPr>
        <w:t xml:space="preserve"> this article as a </w:t>
      </w:r>
      <w:r w:rsidR="00CF7887" w:rsidRPr="00720140">
        <w:rPr>
          <w:rFonts w:cs="Galliard-Roman"/>
        </w:rPr>
        <w:t xml:space="preserve">pragmaticist </w:t>
      </w:r>
      <w:r w:rsidR="00257DB8" w:rsidRPr="00720140">
        <w:rPr>
          <w:rFonts w:cs="Galliard-Roman"/>
        </w:rPr>
        <w:t xml:space="preserve">basis </w:t>
      </w:r>
      <w:r w:rsidR="00CF7887" w:rsidRPr="00720140">
        <w:rPr>
          <w:rFonts w:cs="Galliard-Roman"/>
        </w:rPr>
        <w:t>for</w:t>
      </w:r>
      <w:r w:rsidR="00DE3950" w:rsidRPr="00720140">
        <w:rPr>
          <w:rFonts w:cs="Galliard-Roman"/>
        </w:rPr>
        <w:t xml:space="preserve"> </w:t>
      </w:r>
      <w:r w:rsidR="00CF7887" w:rsidRPr="00720140">
        <w:rPr>
          <w:rFonts w:cs="Galliard-Roman"/>
        </w:rPr>
        <w:t>UDL</w:t>
      </w:r>
      <w:r w:rsidR="00905952" w:rsidRPr="00720140">
        <w:rPr>
          <w:rFonts w:cs="Galliard-Roman"/>
        </w:rPr>
        <w:t xml:space="preserve"> </w:t>
      </w:r>
      <w:r w:rsidR="00CF7887" w:rsidRPr="00720140">
        <w:rPr>
          <w:rFonts w:cs="Galliard-Roman"/>
        </w:rPr>
        <w:t>recognizes that</w:t>
      </w:r>
      <w:r w:rsidR="0096439F" w:rsidRPr="00720140">
        <w:t xml:space="preserve"> </w:t>
      </w:r>
      <w:r w:rsidR="00CF7887" w:rsidRPr="00720140">
        <w:t>s</w:t>
      </w:r>
      <w:r w:rsidR="00905952" w:rsidRPr="00720140">
        <w:t xml:space="preserve">igns function as </w:t>
      </w:r>
      <w:r w:rsidR="0096439F" w:rsidRPr="00720140">
        <w:t>conduit</w:t>
      </w:r>
      <w:r w:rsidR="00DE3950" w:rsidRPr="00720140">
        <w:t>s</w:t>
      </w:r>
      <w:r w:rsidR="00310B9B" w:rsidRPr="00720140">
        <w:t xml:space="preserve"> for meaning</w:t>
      </w:r>
      <w:r w:rsidR="00D002B8" w:rsidRPr="00720140">
        <w:t xml:space="preserve">. Pursuing this unblocked way of inquiry, </w:t>
      </w:r>
      <w:r w:rsidR="00CF7887" w:rsidRPr="00720140">
        <w:t>questions of meaning are inseparable f</w:t>
      </w:r>
      <w:r w:rsidR="00257DB8" w:rsidRPr="00720140">
        <w:t>rom</w:t>
      </w:r>
      <w:r w:rsidR="00CF7887" w:rsidRPr="00720140">
        <w:t xml:space="preserve"> how we represent, engage, act, and express what</w:t>
      </w:r>
      <w:r w:rsidR="00257DB8" w:rsidRPr="00720140">
        <w:t xml:space="preserve"> and how we learn, and perhaps more importantly still, </w:t>
      </w:r>
      <w:r w:rsidR="00257DB8" w:rsidRPr="00720140">
        <w:rPr>
          <w:i/>
          <w:iCs/>
        </w:rPr>
        <w:t xml:space="preserve">from whom </w:t>
      </w:r>
      <w:r w:rsidR="00257DB8" w:rsidRPr="00720140">
        <w:t xml:space="preserve">and </w:t>
      </w:r>
      <w:r w:rsidR="00257DB8" w:rsidRPr="00720140">
        <w:rPr>
          <w:i/>
          <w:iCs/>
        </w:rPr>
        <w:t xml:space="preserve">with whom </w:t>
      </w:r>
      <w:r w:rsidR="00257DB8" w:rsidRPr="00720140">
        <w:t>we</w:t>
      </w:r>
      <w:r w:rsidR="00CF7887" w:rsidRPr="00720140">
        <w:t xml:space="preserve"> learn. I</w:t>
      </w:r>
      <w:r w:rsidR="00DE3950" w:rsidRPr="00720140">
        <w:t xml:space="preserve">n </w:t>
      </w:r>
      <w:r w:rsidR="00257DB8" w:rsidRPr="00720140">
        <w:t>these pages</w:t>
      </w:r>
      <w:r w:rsidR="00CF7887" w:rsidRPr="00720140">
        <w:t xml:space="preserve">, I </w:t>
      </w:r>
      <w:r w:rsidR="00257DB8" w:rsidRPr="00720140">
        <w:t xml:space="preserve">have tried to </w:t>
      </w:r>
      <w:r w:rsidR="00CF7887" w:rsidRPr="00720140">
        <w:t>retain both a clear sense of the problems that arise in the rush to embrace “universality” while retaining some belief in the potential benefits of</w:t>
      </w:r>
      <w:r w:rsidR="00310B9B" w:rsidRPr="00720140">
        <w:t xml:space="preserve"> highlight</w:t>
      </w:r>
      <w:r w:rsidR="00CF7887" w:rsidRPr="00720140">
        <w:t>ing</w:t>
      </w:r>
      <w:r w:rsidR="00310B9B" w:rsidRPr="00720140">
        <w:t xml:space="preserve"> sensory, cognitive, and physical experiences that locate the body as a </w:t>
      </w:r>
      <w:r w:rsidR="0096439F" w:rsidRPr="00720140">
        <w:t>“sentient medium of learning” (Smith, 2007, p. 48</w:t>
      </w:r>
      <w:r w:rsidR="007116B4" w:rsidRPr="00720140">
        <w:t>; Ceraso, 2014</w:t>
      </w:r>
      <w:r w:rsidR="0096439F" w:rsidRPr="00720140">
        <w:t>)</w:t>
      </w:r>
      <w:r w:rsidR="00310B9B" w:rsidRPr="00720140">
        <w:t>.</w:t>
      </w:r>
    </w:p>
    <w:p w14:paraId="5FC3A5DF" w14:textId="165F43B0" w:rsidR="00FA3D3C" w:rsidRPr="00720140" w:rsidRDefault="00FA3D3C" w:rsidP="006F1770">
      <w:pPr>
        <w:jc w:val="center"/>
        <w:rPr>
          <w:b/>
          <w:bCs/>
        </w:rPr>
      </w:pPr>
      <w:r w:rsidRPr="00720140">
        <w:rPr>
          <w:b/>
          <w:bCs/>
        </w:rPr>
        <w:t>Conclusion: Belief in Universal Design for Learning as a “Demi</w:t>
      </w:r>
      <w:r w:rsidR="009E14DF" w:rsidRPr="00720140">
        <w:rPr>
          <w:b/>
          <w:bCs/>
        </w:rPr>
        <w:t>-</w:t>
      </w:r>
      <w:r w:rsidRPr="00720140">
        <w:rPr>
          <w:b/>
          <w:bCs/>
        </w:rPr>
        <w:t>cadence”</w:t>
      </w:r>
      <w:r w:rsidR="009E14DF" w:rsidRPr="00720140">
        <w:rPr>
          <w:rStyle w:val="FootnoteReference"/>
          <w:b/>
          <w:bCs/>
        </w:rPr>
        <w:footnoteReference w:id="8"/>
      </w:r>
    </w:p>
    <w:p w14:paraId="719BC3E4" w14:textId="27A3A714" w:rsidR="00FA3D3C" w:rsidRPr="00720140" w:rsidRDefault="00C26BA0" w:rsidP="00FA3D3C">
      <w:r w:rsidRPr="00720140">
        <w:t>The argumentative strands of this article apply to Disability Studies approached from humanistic perspectives, but also lend themselves to wider application in the social sciences.</w:t>
      </w:r>
      <w:r w:rsidR="00D002B8" w:rsidRPr="00720140">
        <w:t xml:space="preserve"> </w:t>
      </w:r>
      <w:r w:rsidRPr="00720140">
        <w:t>Disability access</w:t>
      </w:r>
      <w:r w:rsidR="00FA3D3C" w:rsidRPr="00720140">
        <w:t xml:space="preserve"> continue</w:t>
      </w:r>
      <w:r w:rsidRPr="00720140">
        <w:t>s</w:t>
      </w:r>
      <w:r w:rsidR="00FA3D3C" w:rsidRPr="00720140">
        <w:t xml:space="preserve"> to challenge universities </w:t>
      </w:r>
      <w:r w:rsidR="00257DB8" w:rsidRPr="00720140">
        <w:t>that typically rely largely on</w:t>
      </w:r>
      <w:r w:rsidR="00FA3D3C" w:rsidRPr="00720140">
        <w:t xml:space="preserve"> </w:t>
      </w:r>
      <w:r w:rsidR="00C1387D" w:rsidRPr="00720140">
        <w:t>standardized (bureaucratically approved)</w:t>
      </w:r>
      <w:r w:rsidR="00FA3D3C" w:rsidRPr="00720140">
        <w:t xml:space="preserve"> </w:t>
      </w:r>
      <w:r w:rsidR="00C1387D" w:rsidRPr="00720140">
        <w:t xml:space="preserve">demonstrations of </w:t>
      </w:r>
      <w:r w:rsidR="00FA3D3C" w:rsidRPr="00720140">
        <w:t>inclusion through individual accommodations</w:t>
      </w:r>
      <w:r w:rsidR="00D002B8" w:rsidRPr="00720140">
        <w:t xml:space="preserve"> (</w:t>
      </w:r>
      <w:r w:rsidR="00F3070A" w:rsidRPr="00720140">
        <w:t>Goegan</w:t>
      </w:r>
      <w:r w:rsidR="00D002B8" w:rsidRPr="00720140">
        <w:t xml:space="preserve"> et al., 2018)</w:t>
      </w:r>
      <w:r w:rsidR="00257DB8" w:rsidRPr="00720140">
        <w:t>. Embracing the pragmaticist foundation laid in the foregoing pages, highlights how requiring disabled</w:t>
      </w:r>
      <w:r w:rsidR="00FA3D3C" w:rsidRPr="00720140">
        <w:t xml:space="preserve"> learners </w:t>
      </w:r>
      <w:r w:rsidR="00257DB8" w:rsidRPr="00720140">
        <w:t>to</w:t>
      </w:r>
      <w:r w:rsidR="00FA3D3C" w:rsidRPr="00720140">
        <w:t xml:space="preserve"> self-identify, and</w:t>
      </w:r>
      <w:r w:rsidR="00257DB8" w:rsidRPr="00720140">
        <w:t xml:space="preserve"> to</w:t>
      </w:r>
      <w:r w:rsidR="00FA3D3C" w:rsidRPr="00720140">
        <w:t xml:space="preserve"> follow established institutional procedures for </w:t>
      </w:r>
      <w:r w:rsidR="00257DB8" w:rsidRPr="00720140">
        <w:rPr>
          <w:i/>
          <w:iCs/>
        </w:rPr>
        <w:t xml:space="preserve">ad hoc </w:t>
      </w:r>
      <w:r w:rsidR="00FA3D3C" w:rsidRPr="00720140">
        <w:t xml:space="preserve">accommodation of their learning needs are </w:t>
      </w:r>
      <w:r w:rsidR="00257DB8" w:rsidRPr="00720140">
        <w:t>deeply problematic, and raise to the surface</w:t>
      </w:r>
      <w:r w:rsidR="00FA3D3C" w:rsidRPr="00720140">
        <w:t xml:space="preserve"> “philosophical and psychological questions underlying curriculum design that should exercise the most penetrating and the most synthesizing minds” (Houser, 1987, p. 252).</w:t>
      </w:r>
    </w:p>
    <w:p w14:paraId="1234417F" w14:textId="50BA534D" w:rsidR="0096439F" w:rsidRPr="00720140" w:rsidRDefault="002A0A54" w:rsidP="0096439F">
      <w:pPr>
        <w:rPr>
          <w:szCs w:val="23"/>
        </w:rPr>
      </w:pPr>
      <w:r w:rsidRPr="00720140">
        <w:rPr>
          <w:szCs w:val="23"/>
        </w:rPr>
        <w:lastRenderedPageBreak/>
        <w:t>T</w:t>
      </w:r>
      <w:r w:rsidR="00257DB8" w:rsidRPr="00720140">
        <w:rPr>
          <w:szCs w:val="23"/>
        </w:rPr>
        <w:t>o return to</w:t>
      </w:r>
      <w:r w:rsidR="003218DF" w:rsidRPr="00720140">
        <w:rPr>
          <w:szCs w:val="23"/>
        </w:rPr>
        <w:t xml:space="preserve"> my primary motif, t</w:t>
      </w:r>
      <w:r w:rsidRPr="00720140">
        <w:rPr>
          <w:szCs w:val="23"/>
        </w:rPr>
        <w:t xml:space="preserve">he “universal” in Universal Design for Learning is a </w:t>
      </w:r>
      <w:r w:rsidRPr="00720140">
        <w:rPr>
          <w:i/>
          <w:iCs/>
          <w:szCs w:val="23"/>
        </w:rPr>
        <w:t xml:space="preserve">sign of </w:t>
      </w:r>
      <w:r w:rsidR="00257DB8" w:rsidRPr="00720140">
        <w:rPr>
          <w:i/>
          <w:iCs/>
          <w:szCs w:val="23"/>
        </w:rPr>
        <w:t>(</w:t>
      </w:r>
      <w:r w:rsidRPr="00720140">
        <w:rPr>
          <w:i/>
          <w:iCs/>
          <w:szCs w:val="23"/>
        </w:rPr>
        <w:t>im</w:t>
      </w:r>
      <w:r w:rsidR="00257DB8" w:rsidRPr="00720140">
        <w:rPr>
          <w:i/>
          <w:iCs/>
          <w:szCs w:val="23"/>
        </w:rPr>
        <w:t>)</w:t>
      </w:r>
      <w:r w:rsidRPr="00720140">
        <w:rPr>
          <w:i/>
          <w:iCs/>
          <w:szCs w:val="23"/>
        </w:rPr>
        <w:t>possibility</w:t>
      </w:r>
      <w:r w:rsidR="00025786" w:rsidRPr="00720140">
        <w:rPr>
          <w:szCs w:val="23"/>
        </w:rPr>
        <w:t xml:space="preserve">. As a sign, </w:t>
      </w:r>
      <w:r w:rsidR="003218DF" w:rsidRPr="00720140">
        <w:rPr>
          <w:i/>
          <w:iCs/>
          <w:szCs w:val="23"/>
        </w:rPr>
        <w:t>the (im)possible</w:t>
      </w:r>
      <w:r w:rsidR="00025786" w:rsidRPr="00720140">
        <w:rPr>
          <w:szCs w:val="23"/>
        </w:rPr>
        <w:t xml:space="preserve"> </w:t>
      </w:r>
      <w:r w:rsidR="00DE3950" w:rsidRPr="00720140">
        <w:rPr>
          <w:szCs w:val="23"/>
        </w:rPr>
        <w:t>interacts with</w:t>
      </w:r>
      <w:r w:rsidR="00025786" w:rsidRPr="00720140">
        <w:rPr>
          <w:szCs w:val="23"/>
        </w:rPr>
        <w:t xml:space="preserve"> the teachers and learners who themselves </w:t>
      </w:r>
      <w:r w:rsidR="00DE3950" w:rsidRPr="00720140">
        <w:rPr>
          <w:szCs w:val="23"/>
        </w:rPr>
        <w:t>becomes</w:t>
      </w:r>
      <w:r w:rsidR="00025786" w:rsidRPr="00720140">
        <w:rPr>
          <w:szCs w:val="23"/>
        </w:rPr>
        <w:t xml:space="preserve"> signs within </w:t>
      </w:r>
      <w:r w:rsidR="00D002B8" w:rsidRPr="00720140">
        <w:rPr>
          <w:szCs w:val="23"/>
        </w:rPr>
        <w:t>the</w:t>
      </w:r>
      <w:r w:rsidR="00025786" w:rsidRPr="00720140">
        <w:rPr>
          <w:szCs w:val="23"/>
        </w:rPr>
        <w:t xml:space="preserve"> unfolding semiotic processes of </w:t>
      </w:r>
      <w:r w:rsidR="003218DF" w:rsidRPr="00720140">
        <w:rPr>
          <w:szCs w:val="23"/>
        </w:rPr>
        <w:t>UDL,</w:t>
      </w:r>
      <w:r w:rsidR="00DE3950" w:rsidRPr="00720140">
        <w:rPr>
          <w:szCs w:val="23"/>
        </w:rPr>
        <w:t xml:space="preserve"> </w:t>
      </w:r>
      <w:r w:rsidR="00D002B8" w:rsidRPr="00720140">
        <w:rPr>
          <w:szCs w:val="23"/>
        </w:rPr>
        <w:t>navigating</w:t>
      </w:r>
      <w:r w:rsidR="00DE3950" w:rsidRPr="00720140">
        <w:rPr>
          <w:szCs w:val="23"/>
        </w:rPr>
        <w:t xml:space="preserve"> the experiential worlds of </w:t>
      </w:r>
      <w:r w:rsidR="00DE3950" w:rsidRPr="00720140">
        <w:rPr>
          <w:i/>
          <w:iCs/>
          <w:szCs w:val="23"/>
        </w:rPr>
        <w:t>Firstness</w:t>
      </w:r>
      <w:r w:rsidR="00DE3950" w:rsidRPr="00720140">
        <w:rPr>
          <w:szCs w:val="23"/>
        </w:rPr>
        <w:t xml:space="preserve">, </w:t>
      </w:r>
      <w:r w:rsidR="00DE3950" w:rsidRPr="00720140">
        <w:rPr>
          <w:i/>
          <w:iCs/>
          <w:szCs w:val="23"/>
        </w:rPr>
        <w:t>Secondness</w:t>
      </w:r>
      <w:r w:rsidR="00DE3950" w:rsidRPr="00720140">
        <w:rPr>
          <w:szCs w:val="23"/>
        </w:rPr>
        <w:t xml:space="preserve">, and </w:t>
      </w:r>
      <w:r w:rsidR="00DE3950" w:rsidRPr="00720140">
        <w:rPr>
          <w:i/>
          <w:iCs/>
          <w:szCs w:val="23"/>
        </w:rPr>
        <w:t>Thirdness</w:t>
      </w:r>
      <w:r w:rsidR="00DE3950" w:rsidRPr="00720140">
        <w:rPr>
          <w:szCs w:val="23"/>
        </w:rPr>
        <w:t>.</w:t>
      </w:r>
      <w:r w:rsidR="00025786" w:rsidRPr="00720140">
        <w:rPr>
          <w:szCs w:val="23"/>
        </w:rPr>
        <w:t xml:space="preserve"> </w:t>
      </w:r>
      <w:r w:rsidR="00862CE1" w:rsidRPr="00720140">
        <w:rPr>
          <w:szCs w:val="23"/>
        </w:rPr>
        <w:t>Enmeshed in a process of reciprocal education</w:t>
      </w:r>
      <w:r w:rsidR="00025786" w:rsidRPr="00720140">
        <w:rPr>
          <w:szCs w:val="23"/>
        </w:rPr>
        <w:t xml:space="preserve">, </w:t>
      </w:r>
      <w:r w:rsidR="00862CE1" w:rsidRPr="00720140">
        <w:rPr>
          <w:szCs w:val="23"/>
        </w:rPr>
        <w:t>what Tanya Titchkosky (20</w:t>
      </w:r>
      <w:r w:rsidR="0044619B" w:rsidRPr="00720140">
        <w:rPr>
          <w:szCs w:val="23"/>
        </w:rPr>
        <w:t>11</w:t>
      </w:r>
      <w:r w:rsidR="00862CE1" w:rsidRPr="00720140">
        <w:rPr>
          <w:szCs w:val="23"/>
        </w:rPr>
        <w:t xml:space="preserve"> identifies as </w:t>
      </w:r>
      <w:r w:rsidR="00DE3950" w:rsidRPr="00720140">
        <w:rPr>
          <w:szCs w:val="23"/>
        </w:rPr>
        <w:t>“</w:t>
      </w:r>
      <w:r w:rsidR="00862CE1" w:rsidRPr="00720140">
        <w:rPr>
          <w:szCs w:val="23"/>
        </w:rPr>
        <w:t>the question of access</w:t>
      </w:r>
      <w:r w:rsidR="00DE3950" w:rsidRPr="00720140">
        <w:rPr>
          <w:szCs w:val="23"/>
        </w:rPr>
        <w:t xml:space="preserve">” </w:t>
      </w:r>
      <w:r w:rsidR="003218DF" w:rsidRPr="00720140">
        <w:rPr>
          <w:szCs w:val="23"/>
        </w:rPr>
        <w:t>discloses the</w:t>
      </w:r>
      <w:r w:rsidR="00025786" w:rsidRPr="00720140">
        <w:rPr>
          <w:szCs w:val="23"/>
        </w:rPr>
        <w:t xml:space="preserve"> </w:t>
      </w:r>
      <w:r w:rsidR="00D002B8" w:rsidRPr="00720140">
        <w:rPr>
          <w:szCs w:val="23"/>
        </w:rPr>
        <w:t>learning opportunities</w:t>
      </w:r>
      <w:r w:rsidR="00025786" w:rsidRPr="00720140">
        <w:rPr>
          <w:szCs w:val="23"/>
        </w:rPr>
        <w:t xml:space="preserve"> </w:t>
      </w:r>
      <w:r w:rsidR="00DE3950" w:rsidRPr="00720140">
        <w:rPr>
          <w:szCs w:val="23"/>
        </w:rPr>
        <w:t xml:space="preserve">created when </w:t>
      </w:r>
      <w:r w:rsidR="003218DF" w:rsidRPr="00720140">
        <w:rPr>
          <w:szCs w:val="23"/>
        </w:rPr>
        <w:t xml:space="preserve">the signs </w:t>
      </w:r>
      <w:r w:rsidR="003218DF" w:rsidRPr="00720140">
        <w:rPr>
          <w:i/>
          <w:iCs/>
          <w:szCs w:val="23"/>
        </w:rPr>
        <w:t xml:space="preserve">teacher </w:t>
      </w:r>
      <w:r w:rsidR="003218DF" w:rsidRPr="00720140">
        <w:rPr>
          <w:szCs w:val="23"/>
        </w:rPr>
        <w:t xml:space="preserve">and </w:t>
      </w:r>
      <w:r w:rsidR="003218DF" w:rsidRPr="00720140">
        <w:rPr>
          <w:i/>
          <w:iCs/>
          <w:szCs w:val="23"/>
        </w:rPr>
        <w:t>learner</w:t>
      </w:r>
      <w:r w:rsidR="003218DF" w:rsidRPr="00720140">
        <w:rPr>
          <w:szCs w:val="23"/>
        </w:rPr>
        <w:t xml:space="preserve"> encounter the sign</w:t>
      </w:r>
      <w:r w:rsidR="00DE3950" w:rsidRPr="00720140">
        <w:rPr>
          <w:szCs w:val="23"/>
        </w:rPr>
        <w:t xml:space="preserve"> </w:t>
      </w:r>
      <w:r w:rsidR="00DE3950" w:rsidRPr="00720140">
        <w:rPr>
          <w:i/>
          <w:iCs/>
          <w:szCs w:val="23"/>
        </w:rPr>
        <w:t>accessibility</w:t>
      </w:r>
      <w:r w:rsidR="00DE3950" w:rsidRPr="00720140">
        <w:rPr>
          <w:szCs w:val="23"/>
        </w:rPr>
        <w:t xml:space="preserve">, </w:t>
      </w:r>
      <w:r w:rsidR="003218DF" w:rsidRPr="00720140">
        <w:rPr>
          <w:szCs w:val="23"/>
        </w:rPr>
        <w:t xml:space="preserve">and </w:t>
      </w:r>
      <w:r w:rsidR="007B019A" w:rsidRPr="00720140">
        <w:rPr>
          <w:szCs w:val="23"/>
        </w:rPr>
        <w:t xml:space="preserve">when the interaction of these signs </w:t>
      </w:r>
      <w:r w:rsidR="00DE3950" w:rsidRPr="00720140">
        <w:rPr>
          <w:szCs w:val="23"/>
        </w:rPr>
        <w:t>dispel</w:t>
      </w:r>
      <w:r w:rsidR="007B019A" w:rsidRPr="00720140">
        <w:rPr>
          <w:szCs w:val="23"/>
        </w:rPr>
        <w:t>s</w:t>
      </w:r>
      <w:r w:rsidR="00025786" w:rsidRPr="00720140">
        <w:rPr>
          <w:szCs w:val="23"/>
        </w:rPr>
        <w:t xml:space="preserve"> </w:t>
      </w:r>
      <w:r w:rsidR="003218DF" w:rsidRPr="00720140">
        <w:rPr>
          <w:szCs w:val="23"/>
        </w:rPr>
        <w:t>conceptually tidy</w:t>
      </w:r>
      <w:r w:rsidR="00025786" w:rsidRPr="00720140">
        <w:rPr>
          <w:szCs w:val="23"/>
        </w:rPr>
        <w:t xml:space="preserve"> </w:t>
      </w:r>
      <w:r w:rsidR="00DE3950" w:rsidRPr="00720140">
        <w:rPr>
          <w:szCs w:val="23"/>
        </w:rPr>
        <w:t>notions</w:t>
      </w:r>
      <w:r w:rsidR="00025786" w:rsidRPr="00720140">
        <w:rPr>
          <w:szCs w:val="23"/>
        </w:rPr>
        <w:t xml:space="preserve"> of what it means for education to be </w:t>
      </w:r>
      <w:r w:rsidR="007878FF" w:rsidRPr="00720140">
        <w:rPr>
          <w:szCs w:val="23"/>
        </w:rPr>
        <w:t>inclusive of disabled embodiments</w:t>
      </w:r>
      <w:r w:rsidR="00025786" w:rsidRPr="00720140">
        <w:rPr>
          <w:szCs w:val="23"/>
        </w:rPr>
        <w:t>.</w:t>
      </w:r>
    </w:p>
    <w:p w14:paraId="707B490B" w14:textId="57FF3C27" w:rsidR="006F1770" w:rsidRPr="00720140" w:rsidRDefault="00EA7B79" w:rsidP="00315989">
      <w:r w:rsidRPr="00720140">
        <w:t xml:space="preserve">Central to Peirce’s semiotic, and foundationally, </w:t>
      </w:r>
      <w:r w:rsidR="007878FF" w:rsidRPr="00720140">
        <w:t xml:space="preserve">to </w:t>
      </w:r>
      <w:r w:rsidRPr="00720140">
        <w:t xml:space="preserve">his </w:t>
      </w:r>
      <w:r w:rsidR="00BA1EC5" w:rsidRPr="00720140">
        <w:t>phaneroscopy</w:t>
      </w:r>
      <w:r w:rsidRPr="00720140">
        <w:t>, is a community of inquirers for whom signs produce publicly available</w:t>
      </w:r>
      <w:bookmarkStart w:id="2" w:name="_Hlk57106546"/>
      <w:r w:rsidR="00C630A4" w:rsidRPr="00720140">
        <w:t>—</w:t>
      </w:r>
      <w:bookmarkEnd w:id="2"/>
      <w:r w:rsidR="00C630A4" w:rsidRPr="00720140">
        <w:t>or to voice the same thought in a philosophical register,</w:t>
      </w:r>
      <w:r w:rsidRPr="00720140">
        <w:t xml:space="preserve"> intersubjective</w:t>
      </w:r>
      <w:r w:rsidR="00C630A4" w:rsidRPr="00720140">
        <w:t>—</w:t>
      </w:r>
      <w:r w:rsidRPr="00720140">
        <w:t xml:space="preserve">meanings. Within such a community, disabled learners enter a phaneroscopic </w:t>
      </w:r>
      <w:r w:rsidR="00C630A4" w:rsidRPr="00720140">
        <w:t xml:space="preserve">and semiotic </w:t>
      </w:r>
      <w:r w:rsidRPr="00720140">
        <w:t>realm as insightful, valued, and integral members</w:t>
      </w:r>
      <w:r w:rsidR="007878FF" w:rsidRPr="00720140">
        <w:t xml:space="preserve">, </w:t>
      </w:r>
      <w:r w:rsidR="00C630A4" w:rsidRPr="00720140">
        <w:t>rather than</w:t>
      </w:r>
      <w:r w:rsidR="003218DF" w:rsidRPr="00720140">
        <w:t xml:space="preserve"> being merely</w:t>
      </w:r>
      <w:r w:rsidR="00C630A4" w:rsidRPr="00720140">
        <w:t xml:space="preserve"> parenthesized</w:t>
      </w:r>
      <w:r w:rsidR="003218DF" w:rsidRPr="00720140">
        <w:t>,</w:t>
      </w:r>
      <w:r w:rsidR="00C630A4" w:rsidRPr="00720140">
        <w:t xml:space="preserve"> </w:t>
      </w:r>
      <w:r w:rsidR="00F3070A" w:rsidRPr="00720140">
        <w:t>bureaucratically,</w:t>
      </w:r>
      <w:r w:rsidR="00C630A4" w:rsidRPr="00720140">
        <w:t xml:space="preserve"> and mechanically</w:t>
      </w:r>
      <w:r w:rsidR="003218DF" w:rsidRPr="00720140">
        <w:t xml:space="preserve"> </w:t>
      </w:r>
      <w:r w:rsidR="00D002B8" w:rsidRPr="00720140">
        <w:t>waved aside</w:t>
      </w:r>
      <w:r w:rsidR="00C630A4" w:rsidRPr="00720140">
        <w:t xml:space="preserve"> as </w:t>
      </w:r>
      <w:r w:rsidR="007878FF" w:rsidRPr="00720140">
        <w:t>inconvenient afterthoughts</w:t>
      </w:r>
      <w:r w:rsidRPr="00720140">
        <w:t xml:space="preserve">. </w:t>
      </w:r>
      <w:r w:rsidR="003218DF" w:rsidRPr="00720140">
        <w:t>This learning community itself becomes, by turns, a sign</w:t>
      </w:r>
      <w:r w:rsidRPr="00720140">
        <w:t xml:space="preserve"> of the </w:t>
      </w:r>
      <w:r w:rsidRPr="00720140">
        <w:rPr>
          <w:i/>
          <w:iCs/>
        </w:rPr>
        <w:t>possible</w:t>
      </w:r>
      <w:r w:rsidRPr="00720140">
        <w:t xml:space="preserve"> (</w:t>
      </w:r>
      <w:r w:rsidRPr="00720140">
        <w:rPr>
          <w:i/>
          <w:iCs/>
        </w:rPr>
        <w:t>Firstness</w:t>
      </w:r>
      <w:r w:rsidRPr="00720140">
        <w:t xml:space="preserve">), the </w:t>
      </w:r>
      <w:r w:rsidRPr="00720140">
        <w:rPr>
          <w:i/>
          <w:iCs/>
        </w:rPr>
        <w:t>actual</w:t>
      </w:r>
      <w:r w:rsidRPr="00720140">
        <w:t xml:space="preserve"> (</w:t>
      </w:r>
      <w:r w:rsidRPr="00720140">
        <w:rPr>
          <w:i/>
          <w:iCs/>
        </w:rPr>
        <w:t>Secondness</w:t>
      </w:r>
      <w:r w:rsidRPr="00720140">
        <w:t xml:space="preserve">), and </w:t>
      </w:r>
      <w:r w:rsidR="00D26B0B" w:rsidRPr="00720140">
        <w:t xml:space="preserve">of </w:t>
      </w:r>
      <w:r w:rsidR="003218DF" w:rsidRPr="00720140">
        <w:t xml:space="preserve">the </w:t>
      </w:r>
      <w:r w:rsidR="003218DF" w:rsidRPr="00720140">
        <w:rPr>
          <w:i/>
          <w:iCs/>
        </w:rPr>
        <w:t>universal</w:t>
      </w:r>
      <w:r w:rsidR="003218DF" w:rsidRPr="00720140">
        <w:t xml:space="preserve"> </w:t>
      </w:r>
      <w:r w:rsidRPr="00720140">
        <w:t>(</w:t>
      </w:r>
      <w:r w:rsidRPr="00720140">
        <w:rPr>
          <w:i/>
          <w:iCs/>
        </w:rPr>
        <w:t>Thirdness</w:t>
      </w:r>
      <w:r w:rsidRPr="00720140">
        <w:t>).</w:t>
      </w:r>
    </w:p>
    <w:p w14:paraId="216BE1F9" w14:textId="4AF2EA1E" w:rsidR="0084259A" w:rsidRPr="00720140" w:rsidRDefault="00C630A4" w:rsidP="00315989">
      <w:r w:rsidRPr="00720140">
        <w:t xml:space="preserve">As a disabled member of communities of learning that continually sound the interdisciplinary depths, my own ways of thinking, writing, and working exist in that unboxed world described </w:t>
      </w:r>
      <w:r w:rsidR="00DA1021" w:rsidRPr="00720140">
        <w:t>so resonantly</w:t>
      </w:r>
      <w:r w:rsidRPr="00720140">
        <w:t xml:space="preserve"> by Stephen Kuusisto</w:t>
      </w:r>
      <w:r w:rsidR="00DA1021" w:rsidRPr="00720140">
        <w:t xml:space="preserve"> (2020).</w:t>
      </w:r>
      <w:r w:rsidRPr="00720140">
        <w:t xml:space="preserve"> </w:t>
      </w:r>
      <w:r w:rsidR="0043346E" w:rsidRPr="00720140">
        <w:t xml:space="preserve">a world of </w:t>
      </w:r>
      <w:r w:rsidR="0043346E" w:rsidRPr="00720140">
        <w:rPr>
          <w:i/>
          <w:iCs/>
        </w:rPr>
        <w:t>(im)possibilities</w:t>
      </w:r>
      <w:r w:rsidR="0043346E" w:rsidRPr="00720140">
        <w:t xml:space="preserve"> that have nothing to tell, and something at once particular and universal to say</w:t>
      </w:r>
      <w:r w:rsidR="00932AC8" w:rsidRPr="00720140">
        <w:t>.</w:t>
      </w:r>
    </w:p>
    <w:p w14:paraId="78901463" w14:textId="77777777" w:rsidR="00315989" w:rsidRPr="00720140" w:rsidRDefault="00315989">
      <w:pPr>
        <w:ind w:firstLine="0"/>
        <w:rPr>
          <w:rFonts w:eastAsiaTheme="majorEastAsia"/>
          <w:b/>
          <w:bCs/>
          <w:kern w:val="32"/>
        </w:rPr>
      </w:pPr>
      <w:r w:rsidRPr="00720140">
        <w:br w:type="page"/>
      </w:r>
    </w:p>
    <w:p w14:paraId="79C17156" w14:textId="370C93D5" w:rsidR="0096439F" w:rsidRPr="00720140" w:rsidRDefault="0096439F" w:rsidP="00F06307">
      <w:pPr>
        <w:pStyle w:val="Heading1"/>
        <w:spacing w:after="240"/>
        <w:ind w:firstLine="0"/>
        <w:jc w:val="center"/>
        <w:rPr>
          <w:rFonts w:cs="Times New Roman"/>
          <w:szCs w:val="24"/>
        </w:rPr>
      </w:pPr>
      <w:r w:rsidRPr="00720140">
        <w:rPr>
          <w:rFonts w:cs="Times New Roman"/>
          <w:szCs w:val="24"/>
        </w:rPr>
        <w:lastRenderedPageBreak/>
        <w:t>References</w:t>
      </w:r>
    </w:p>
    <w:p w14:paraId="03EBAE44" w14:textId="27B46302" w:rsidR="002E7557" w:rsidRPr="00720140" w:rsidRDefault="002E7557" w:rsidP="00BB3B02">
      <w:pPr>
        <w:pStyle w:val="CUNYAPA7"/>
      </w:pPr>
      <w:r w:rsidRPr="00720140">
        <w:t xml:space="preserve">Ahmed, Sara. (December 15, 2015). “Melancholic Universalism.” </w:t>
      </w:r>
      <w:r w:rsidRPr="00720140">
        <w:rPr>
          <w:i/>
          <w:iCs/>
        </w:rPr>
        <w:t>Feministkilljoys.com</w:t>
      </w:r>
      <w:r w:rsidRPr="00720140">
        <w:t>.</w:t>
      </w:r>
    </w:p>
    <w:p w14:paraId="4E4704B0" w14:textId="19C3B241" w:rsidR="006E78D7" w:rsidRPr="00720140" w:rsidRDefault="006E78D7" w:rsidP="00BB3B02">
      <w:pPr>
        <w:pStyle w:val="CUNYAPA7"/>
      </w:pPr>
      <w:r w:rsidRPr="00720140">
        <w:t xml:space="preserve">Atkins, R. (2016). Direct inspection and phaneroscopic analysis. </w:t>
      </w:r>
      <w:r w:rsidRPr="00720140">
        <w:rPr>
          <w:i/>
          <w:iCs/>
        </w:rPr>
        <w:t xml:space="preserve">Transactions of the Charles S. Peirce Society 52 </w:t>
      </w:r>
      <w:r w:rsidRPr="00720140">
        <w:t>(1), 1-20. DOI:10.2979/trancharpeirsoc.52.1.01</w:t>
      </w:r>
    </w:p>
    <w:p w14:paraId="6D685092" w14:textId="289E2CC5" w:rsidR="007C7BED" w:rsidRPr="00720140" w:rsidRDefault="007C7BED" w:rsidP="00BB3B02">
      <w:pPr>
        <w:pStyle w:val="CUNYAPA7"/>
      </w:pPr>
      <w:r w:rsidRPr="00720140">
        <w:t xml:space="preserve">Atkins, R. (2013). Broadening Peirce's </w:t>
      </w:r>
      <w:r w:rsidR="006E78D7" w:rsidRPr="00720140">
        <w:t>p</w:t>
      </w:r>
      <w:r w:rsidRPr="00720140">
        <w:t xml:space="preserve">haneroscopy: Part </w:t>
      </w:r>
      <w:r w:rsidR="006E78D7" w:rsidRPr="00720140">
        <w:t>t</w:t>
      </w:r>
      <w:r w:rsidRPr="00720140">
        <w:t xml:space="preserve">wo. </w:t>
      </w:r>
      <w:r w:rsidRPr="00720140">
        <w:rPr>
          <w:i/>
          <w:iCs/>
        </w:rPr>
        <w:t>The Pluralist 8</w:t>
      </w:r>
      <w:r w:rsidR="006E78D7" w:rsidRPr="00720140">
        <w:t xml:space="preserve"> </w:t>
      </w:r>
      <w:r w:rsidRPr="00720140">
        <w:t xml:space="preserve">(1), 97-114. </w:t>
      </w:r>
      <w:r w:rsidR="006E78D7" w:rsidRPr="00720140">
        <w:t>DOI</w:t>
      </w:r>
      <w:r w:rsidRPr="00720140">
        <w:t>:10.5406/pluralist.8.1.0097</w:t>
      </w:r>
    </w:p>
    <w:p w14:paraId="14AFA4C4" w14:textId="039A285B" w:rsidR="00BB3B02" w:rsidRPr="00720140" w:rsidRDefault="007C7BED" w:rsidP="00BB3B02">
      <w:pPr>
        <w:pStyle w:val="CUNYAPA7"/>
      </w:pPr>
      <w:r w:rsidRPr="00720140">
        <w:t xml:space="preserve">Brewer, E., Yergeau, M. &amp; Selfe, C.L. (2014). “Creating a culture of access in composition studies.” </w:t>
      </w:r>
      <w:r w:rsidRPr="00720140">
        <w:rPr>
          <w:i/>
          <w:iCs/>
        </w:rPr>
        <w:t>Composition Studies 42</w:t>
      </w:r>
      <w:r w:rsidRPr="00720140">
        <w:t xml:space="preserve"> (2).</w:t>
      </w:r>
      <w:r w:rsidR="006E78D7" w:rsidRPr="00720140">
        <w:t xml:space="preserve"> </w:t>
      </w:r>
      <w:r w:rsidR="00494904" w:rsidRPr="00720140">
        <w:t xml:space="preserve">Buchler, J. (1940/2014). </w:t>
      </w:r>
      <w:r w:rsidR="00494904" w:rsidRPr="00720140">
        <w:rPr>
          <w:i/>
          <w:iCs/>
        </w:rPr>
        <w:t>The philosophy of Peirce: Selected writings</w:t>
      </w:r>
      <w:r w:rsidR="00315989" w:rsidRPr="00720140">
        <w:rPr>
          <w:i/>
          <w:iCs/>
        </w:rPr>
        <w:t xml:space="preserve">. </w:t>
      </w:r>
      <w:r w:rsidR="00494904" w:rsidRPr="00720140">
        <w:t>Routledge.</w:t>
      </w:r>
    </w:p>
    <w:p w14:paraId="752CEFA4" w14:textId="3D1C198C" w:rsidR="00DD7590" w:rsidRPr="00720140" w:rsidRDefault="00AD71AC" w:rsidP="0084259A">
      <w:pPr>
        <w:pStyle w:val="CUNYAPA7"/>
      </w:pPr>
      <w:r w:rsidRPr="00720140">
        <w:t xml:space="preserve">Cashmore, S. (2018). </w:t>
      </w:r>
      <w:r w:rsidR="00A31761" w:rsidRPr="00720140">
        <w:t>“</w:t>
      </w:r>
      <w:r w:rsidRPr="00720140">
        <w:t xml:space="preserve">In </w:t>
      </w:r>
      <w:r w:rsidR="00A31761" w:rsidRPr="00720140">
        <w:t>s</w:t>
      </w:r>
      <w:r w:rsidRPr="00720140">
        <w:t xml:space="preserve">earch of a </w:t>
      </w:r>
      <w:r w:rsidR="00A31761" w:rsidRPr="00720140">
        <w:t>p</w:t>
      </w:r>
      <w:r w:rsidRPr="00720140">
        <w:t xml:space="preserve">edagogy of </w:t>
      </w:r>
      <w:r w:rsidR="00A31761" w:rsidRPr="00720140">
        <w:t>c</w:t>
      </w:r>
      <w:r w:rsidRPr="00720140">
        <w:t xml:space="preserve">hange </w:t>
      </w:r>
      <w:r w:rsidR="00A31761" w:rsidRPr="00720140">
        <w:t>t</w:t>
      </w:r>
      <w:r w:rsidRPr="00720140">
        <w:t xml:space="preserve">hrough the </w:t>
      </w:r>
      <w:r w:rsidR="00A31761" w:rsidRPr="00720140">
        <w:t>d</w:t>
      </w:r>
      <w:r w:rsidRPr="00720140">
        <w:t xml:space="preserve">evelopmental </w:t>
      </w:r>
      <w:r w:rsidR="00A31761" w:rsidRPr="00720140">
        <w:t>t</w:t>
      </w:r>
      <w:r w:rsidRPr="00720140">
        <w:t>eleology of Charles Sanders Peirce.</w:t>
      </w:r>
      <w:r w:rsidR="00A31761" w:rsidRPr="00720140">
        <w:t>”</w:t>
      </w:r>
      <w:r w:rsidRPr="00720140">
        <w:t xml:space="preserve"> </w:t>
      </w:r>
      <w:r w:rsidRPr="00720140">
        <w:rPr>
          <w:i/>
          <w:iCs/>
        </w:rPr>
        <w:t>Transactions of the Charles S. Peirce Society: A Quarterly Journal in American Philosophy 54</w:t>
      </w:r>
      <w:r w:rsidR="00A31761" w:rsidRPr="00720140">
        <w:t xml:space="preserve"> </w:t>
      </w:r>
      <w:r w:rsidRPr="00720140">
        <w:t>(3), 295-319. https://www.muse.jhu.edu/article/713766.</w:t>
      </w:r>
      <w:r w:rsidR="00CC5365" w:rsidRPr="00720140">
        <w:t>CAST (2018</w:t>
      </w:r>
      <w:r w:rsidR="00EB4AC7" w:rsidRPr="00720140">
        <w:t>a</w:t>
      </w:r>
      <w:r w:rsidR="00CC5365" w:rsidRPr="00720140">
        <w:t>).</w:t>
      </w:r>
      <w:r w:rsidR="00194E9C" w:rsidRPr="00720140">
        <w:t xml:space="preserve"> The UDL Guidelines.</w:t>
      </w:r>
      <w:r w:rsidR="00CC5365" w:rsidRPr="00720140">
        <w:t xml:space="preserve"> </w:t>
      </w:r>
      <w:r w:rsidR="00CC5365" w:rsidRPr="00720140">
        <w:rPr>
          <w:i/>
          <w:iCs/>
        </w:rPr>
        <w:t>Universal Design for Learning Guidelines version 2.2</w:t>
      </w:r>
      <w:r w:rsidR="00CC5365" w:rsidRPr="00720140">
        <w:t xml:space="preserve">. Retrieved from </w:t>
      </w:r>
      <w:hyperlink r:id="rId8" w:history="1">
        <w:r w:rsidR="00EB4AC7" w:rsidRPr="00720140">
          <w:rPr>
            <w:rStyle w:val="Hyperlink"/>
          </w:rPr>
          <w:t>http://udlguidelines.cast.org\CAST</w:t>
        </w:r>
      </w:hyperlink>
    </w:p>
    <w:p w14:paraId="7E992822" w14:textId="71DAA0C5" w:rsidR="0025604C" w:rsidRPr="00720140" w:rsidRDefault="00EB4AC7" w:rsidP="0084259A">
      <w:pPr>
        <w:pStyle w:val="CUNYAPA7"/>
        <w:rPr>
          <w:color w:val="000000" w:themeColor="text1"/>
        </w:rPr>
      </w:pPr>
      <w:r w:rsidRPr="00720140">
        <w:rPr>
          <w:color w:val="000000" w:themeColor="text1"/>
        </w:rPr>
        <w:t>CAST (2018b). T</w:t>
      </w:r>
      <w:r w:rsidRPr="00720140">
        <w:t xml:space="preserve">he UDL Guidelines. </w:t>
      </w:r>
      <w:r w:rsidRPr="00720140">
        <w:rPr>
          <w:i/>
          <w:iCs/>
          <w:color w:val="000000" w:themeColor="text1"/>
        </w:rPr>
        <w:t>About the Graphic Organizer.</w:t>
      </w:r>
      <w:r w:rsidRPr="00720140">
        <w:rPr>
          <w:color w:val="000000" w:themeColor="text1"/>
        </w:rPr>
        <w:t xml:space="preserve"> </w:t>
      </w:r>
      <w:hyperlink r:id="rId9" w:history="1">
        <w:r w:rsidR="00770DA6" w:rsidRPr="00720140">
          <w:rPr>
            <w:rStyle w:val="Hyperlink"/>
          </w:rPr>
          <w:t>http://udlguidelines.cast.org/more/about-graphic-organizer</w:t>
        </w:r>
      </w:hyperlink>
    </w:p>
    <w:p w14:paraId="0982BE05" w14:textId="73EDEEE9" w:rsidR="00770DA6" w:rsidRPr="00720140" w:rsidRDefault="00770DA6" w:rsidP="00770DA6">
      <w:pPr>
        <w:pStyle w:val="CUNYAPA7"/>
        <w:rPr>
          <w:color w:val="000000" w:themeColor="text1"/>
        </w:rPr>
      </w:pPr>
      <w:r w:rsidRPr="00720140">
        <w:rPr>
          <w:color w:val="000000" w:themeColor="text1"/>
        </w:rPr>
        <w:t>CAST (2020</w:t>
      </w:r>
      <w:r w:rsidR="00800D31" w:rsidRPr="00720140">
        <w:rPr>
          <w:color w:val="000000" w:themeColor="text1"/>
        </w:rPr>
        <w:t>a</w:t>
      </w:r>
      <w:r w:rsidRPr="00720140">
        <w:rPr>
          <w:color w:val="000000" w:themeColor="text1"/>
        </w:rPr>
        <w:t xml:space="preserve">). About CAST. </w:t>
      </w:r>
      <w:r w:rsidRPr="00720140">
        <w:rPr>
          <w:i/>
          <w:iCs/>
          <w:color w:val="000000" w:themeColor="text1"/>
        </w:rPr>
        <w:t>Until Learning Has No Limits</w:t>
      </w:r>
      <w:r w:rsidRPr="00720140">
        <w:rPr>
          <w:color w:val="000000" w:themeColor="text1"/>
        </w:rPr>
        <w:t xml:space="preserve">. </w:t>
      </w:r>
      <w:hyperlink r:id="rId10" w:history="1">
        <w:r w:rsidRPr="00720140">
          <w:rPr>
            <w:rStyle w:val="Hyperlink"/>
          </w:rPr>
          <w:t>http://www.cast.org/</w:t>
        </w:r>
      </w:hyperlink>
    </w:p>
    <w:p w14:paraId="09F36618" w14:textId="66F81D9D" w:rsidR="00800D31" w:rsidRPr="00720140" w:rsidRDefault="00800D31" w:rsidP="00770DA6">
      <w:pPr>
        <w:pStyle w:val="CUNYAPA7"/>
        <w:rPr>
          <w:i/>
          <w:iCs/>
          <w:color w:val="000000" w:themeColor="text1"/>
        </w:rPr>
      </w:pPr>
      <w:r w:rsidRPr="00720140">
        <w:rPr>
          <w:color w:val="000000" w:themeColor="text1"/>
        </w:rPr>
        <w:t>CAST (2020b). About Universal Design for Learnin</w:t>
      </w:r>
      <w:r w:rsidR="00950C86" w:rsidRPr="00720140">
        <w:rPr>
          <w:color w:val="000000" w:themeColor="text1"/>
        </w:rPr>
        <w:t>g</w:t>
      </w:r>
      <w:r w:rsidR="00950C86" w:rsidRPr="00720140">
        <w:rPr>
          <w:i/>
          <w:iCs/>
          <w:color w:val="000000" w:themeColor="text1"/>
        </w:rPr>
        <w:t>. UDL Guidelines What, Why How). http://www.cast.org/impact/universal-design-for-learning-udl</w:t>
      </w:r>
    </w:p>
    <w:p w14:paraId="3F5DD449" w14:textId="2AD6A905" w:rsidR="00651196" w:rsidRPr="00720140" w:rsidRDefault="00651196" w:rsidP="0084259A">
      <w:pPr>
        <w:pStyle w:val="CUNYAPA7"/>
      </w:pPr>
      <w:r w:rsidRPr="00720140">
        <w:t xml:space="preserve">Ceraso, S. (2014). (Re)educating the senses: Multimodal listening, bodily learning, and the composition of sonic experiences. </w:t>
      </w:r>
      <w:r w:rsidRPr="00720140">
        <w:rPr>
          <w:i/>
          <w:iCs/>
        </w:rPr>
        <w:t>College English 77</w:t>
      </w:r>
      <w:r w:rsidRPr="00720140">
        <w:t>(2), 102-123.</w:t>
      </w:r>
    </w:p>
    <w:p w14:paraId="4C514ACC" w14:textId="18E5EE5F" w:rsidR="007878FF" w:rsidRPr="00720140" w:rsidRDefault="00E47E10" w:rsidP="0084259A">
      <w:pPr>
        <w:pStyle w:val="CUNYAPA7"/>
        <w:rPr>
          <w:rStyle w:val="Hyperlink"/>
        </w:rPr>
      </w:pPr>
      <w:r w:rsidRPr="00720140">
        <w:lastRenderedPageBreak/>
        <w:t xml:space="preserve">Cooke, E. F. (2011). Phenomenology of error and surprise: Peirce, </w:t>
      </w:r>
      <w:r w:rsidR="00025786" w:rsidRPr="00720140">
        <w:t>D</w:t>
      </w:r>
      <w:r w:rsidRPr="00720140">
        <w:t xml:space="preserve">avidson, and McDowell. </w:t>
      </w:r>
      <w:r w:rsidRPr="00720140">
        <w:rPr>
          <w:i/>
          <w:iCs/>
        </w:rPr>
        <w:t>Transactions of the Charles S. Peirce Society: A Quarterly Journal in American Philosophy 47</w:t>
      </w:r>
      <w:r w:rsidR="007878FF" w:rsidRPr="00720140">
        <w:t>(</w:t>
      </w:r>
      <w:r w:rsidRPr="00720140">
        <w:t xml:space="preserve">1), 62-86. </w:t>
      </w:r>
      <w:hyperlink r:id="rId11" w:history="1">
        <w:r w:rsidRPr="00720140">
          <w:rPr>
            <w:rStyle w:val="Hyperlink"/>
          </w:rPr>
          <w:t>doi:10.2979/trancharpeirsoc.47.1.62</w:t>
        </w:r>
      </w:hyperlink>
    </w:p>
    <w:p w14:paraId="47F6744C" w14:textId="505A24B2" w:rsidR="00DB6413" w:rsidRPr="00720140" w:rsidRDefault="00DB6413" w:rsidP="0084259A">
      <w:pPr>
        <w:pStyle w:val="CUNYAPA7"/>
      </w:pPr>
      <w:r w:rsidRPr="00720140">
        <w:rPr>
          <w:rStyle w:val="Hyperlink"/>
          <w:color w:val="000000" w:themeColor="text1"/>
          <w:u w:val="none"/>
        </w:rPr>
        <w:t>[CP].</w:t>
      </w:r>
      <w:r w:rsidR="002F6E5F" w:rsidRPr="00720140">
        <w:rPr>
          <w:rStyle w:val="Hyperlink"/>
          <w:color w:val="000000" w:themeColor="text1"/>
          <w:u w:val="none"/>
        </w:rPr>
        <w:t xml:space="preserve"> </w:t>
      </w:r>
      <w:r w:rsidRPr="00720140">
        <w:rPr>
          <w:color w:val="000000" w:themeColor="text1"/>
        </w:rPr>
        <w:t>Peirce</w:t>
      </w:r>
      <w:r w:rsidRPr="00720140">
        <w:t xml:space="preserve">, C. S., Hartshorne, C., Weiss, P., &amp; Burks, A. W. (Eds.). (1931–58). </w:t>
      </w:r>
      <w:r w:rsidRPr="00720140">
        <w:rPr>
          <w:i/>
          <w:iCs/>
        </w:rPr>
        <w:t>Collected papers</w:t>
      </w:r>
      <w:r w:rsidRPr="00720140">
        <w:t>. (8 vols.). Belknap Press of Harvard University Press.</w:t>
      </w:r>
    </w:p>
    <w:p w14:paraId="6274AD25" w14:textId="759F0B61" w:rsidR="00610BD0" w:rsidRPr="00720140" w:rsidRDefault="00610BD0" w:rsidP="0084259A">
      <w:pPr>
        <w:pStyle w:val="CUNYAPA7"/>
      </w:pPr>
      <w:r w:rsidRPr="00720140">
        <w:t>Dolmage, J. T. (2017)</w:t>
      </w:r>
      <w:r w:rsidR="00907F13" w:rsidRPr="00720140">
        <w:t xml:space="preserve">. </w:t>
      </w:r>
      <w:r w:rsidR="00907F13" w:rsidRPr="00720140">
        <w:rPr>
          <w:i/>
          <w:iCs/>
        </w:rPr>
        <w:t xml:space="preserve">Academic ableism: Disability in higher education. </w:t>
      </w:r>
      <w:r w:rsidR="00907F13" w:rsidRPr="00720140">
        <w:t>University of Michigan Press.</w:t>
      </w:r>
    </w:p>
    <w:p w14:paraId="34B35222" w14:textId="34511481" w:rsidR="00EA181E" w:rsidRPr="00720140" w:rsidRDefault="00EC343B" w:rsidP="0084259A">
      <w:pPr>
        <w:pStyle w:val="CUNYAPA7"/>
      </w:pPr>
      <w:r w:rsidRPr="00720140">
        <w:t xml:space="preserve">Edyburn, D. L. (2010). Would you recognize universal design for learning if you saw it? </w:t>
      </w:r>
      <w:r w:rsidR="00521771" w:rsidRPr="00720140">
        <w:t>T</w:t>
      </w:r>
      <w:r w:rsidRPr="00720140">
        <w:t xml:space="preserve">en propositions for new directions for the second decade of UDL. </w:t>
      </w:r>
      <w:r w:rsidRPr="00720140">
        <w:rPr>
          <w:i/>
          <w:iCs/>
        </w:rPr>
        <w:t>Learning Disability Quarterly, 33</w:t>
      </w:r>
      <w:r w:rsidRPr="00720140">
        <w:t>(1), 33-41.</w:t>
      </w:r>
      <w:r w:rsidR="0025006B" w:rsidRPr="00720140">
        <w:t xml:space="preserve"> </w:t>
      </w:r>
      <w:hyperlink r:id="rId12" w:history="1">
        <w:r w:rsidR="0025006B" w:rsidRPr="00720140">
          <w:rPr>
            <w:color w:val="0000FF"/>
            <w:u w:val="single"/>
          </w:rPr>
          <w:t>https://doi.org/10.1177/073194871003300103</w:t>
        </w:r>
      </w:hyperlink>
    </w:p>
    <w:p w14:paraId="311B8295" w14:textId="72DC7795" w:rsidR="00DB6413" w:rsidRPr="00720140" w:rsidRDefault="00DB6413" w:rsidP="0084259A">
      <w:pPr>
        <w:pStyle w:val="CUNYAPA7"/>
      </w:pPr>
      <w:r w:rsidRPr="00720140">
        <w:t>[EP]. Peirce, C. S.</w:t>
      </w:r>
      <w:r w:rsidR="002F6E5F" w:rsidRPr="00720140">
        <w:t xml:space="preserve"> </w:t>
      </w:r>
      <w:r w:rsidRPr="00720140">
        <w:t xml:space="preserve">(1998). </w:t>
      </w:r>
      <w:r w:rsidRPr="00720140">
        <w:rPr>
          <w:i/>
          <w:iCs/>
        </w:rPr>
        <w:t>The essential Peirce: Selected philosophical writings, Volume 2 (1893-1913).</w:t>
      </w:r>
      <w:r w:rsidRPr="00720140">
        <w:t xml:space="preserve"> (Peirce Edition Project, Ed.). Indiana University Press.</w:t>
      </w:r>
    </w:p>
    <w:p w14:paraId="45610F4E" w14:textId="03677024" w:rsidR="003A5B88" w:rsidRPr="00720140" w:rsidRDefault="00EA181E" w:rsidP="0084259A">
      <w:pPr>
        <w:pStyle w:val="CUNYAPA7"/>
        <w:rPr>
          <w:rStyle w:val="Hyperlink"/>
        </w:rPr>
      </w:pPr>
      <w:r w:rsidRPr="00720140">
        <w:t xml:space="preserve">Goegan, L. D., Radil, A. I., &amp; Daniels, L. M. (2018). Accessibility in questionnaire research: Integrating universal design to increase the participation of individuals with learning disabilities. </w:t>
      </w:r>
      <w:r w:rsidRPr="00720140">
        <w:rPr>
          <w:i/>
          <w:iCs/>
        </w:rPr>
        <w:t>Learning Disabilities: A Contemporary Journal</w:t>
      </w:r>
      <w:r w:rsidR="0025006B" w:rsidRPr="00720140">
        <w:rPr>
          <w:i/>
          <w:iCs/>
        </w:rPr>
        <w:t>,</w:t>
      </w:r>
      <w:r w:rsidRPr="00720140">
        <w:rPr>
          <w:i/>
          <w:iCs/>
        </w:rPr>
        <w:t xml:space="preserve"> 16</w:t>
      </w:r>
      <w:r w:rsidRPr="00720140">
        <w:t>(2), 177-190.</w:t>
      </w:r>
      <w:r w:rsidR="0025006B" w:rsidRPr="00720140">
        <w:t xml:space="preserve"> </w:t>
      </w:r>
      <w:hyperlink r:id="rId13" w:history="1">
        <w:r w:rsidR="0025006B" w:rsidRPr="00720140">
          <w:rPr>
            <w:rStyle w:val="Hyperlink"/>
          </w:rPr>
          <w:t>https://eric.ed.gov/?id=EJ1194555</w:t>
        </w:r>
      </w:hyperlink>
    </w:p>
    <w:p w14:paraId="3245D152" w14:textId="39290DD7" w:rsidR="00B8098F" w:rsidRPr="00720140" w:rsidRDefault="00B8098F" w:rsidP="0084259A">
      <w:pPr>
        <w:pStyle w:val="CUNYAPA7"/>
      </w:pPr>
      <w:r w:rsidRPr="00720140">
        <w:t xml:space="preserve">Haack, S. (2014). Do Not block the way of inquiry. </w:t>
      </w:r>
      <w:r w:rsidRPr="00720140">
        <w:rPr>
          <w:i/>
          <w:iCs/>
        </w:rPr>
        <w:t>Transactions of the Charles S. Peirce Society 50</w:t>
      </w:r>
      <w:r w:rsidRPr="00720140">
        <w:t xml:space="preserve"> (3), 319-339. DOI:10.2979/trancharpeirsoc.50.3.319</w:t>
      </w:r>
    </w:p>
    <w:p w14:paraId="6CFBEB84" w14:textId="7F048C70" w:rsidR="00ED5E26" w:rsidRPr="00720140" w:rsidRDefault="007878FF" w:rsidP="0084259A">
      <w:pPr>
        <w:pStyle w:val="CUNYAPA7"/>
      </w:pPr>
      <w:r w:rsidRPr="00720140">
        <w:t xml:space="preserve">Hall, T. E., </w:t>
      </w:r>
      <w:r w:rsidR="0025006B" w:rsidRPr="00720140">
        <w:t>Meyer, A., &amp; Rose, D</w:t>
      </w:r>
      <w:r w:rsidR="004A379D" w:rsidRPr="00720140">
        <w:t>.</w:t>
      </w:r>
      <w:r w:rsidR="0025006B" w:rsidRPr="00720140">
        <w:t xml:space="preserve"> (Eds.)</w:t>
      </w:r>
      <w:r w:rsidRPr="00720140">
        <w:t xml:space="preserve">. </w:t>
      </w:r>
      <w:r w:rsidR="003A5B88" w:rsidRPr="00720140">
        <w:t>(2012</w:t>
      </w:r>
      <w:r w:rsidRPr="00720140">
        <w:t>)</w:t>
      </w:r>
      <w:r w:rsidR="003A5B88" w:rsidRPr="00720140">
        <w:t xml:space="preserve">. </w:t>
      </w:r>
      <w:r w:rsidR="003A5B88" w:rsidRPr="00720140">
        <w:rPr>
          <w:i/>
          <w:iCs/>
        </w:rPr>
        <w:t xml:space="preserve">Universal </w:t>
      </w:r>
      <w:r w:rsidR="0025006B" w:rsidRPr="00720140">
        <w:rPr>
          <w:i/>
          <w:iCs/>
        </w:rPr>
        <w:t>d</w:t>
      </w:r>
      <w:r w:rsidR="003A5B88" w:rsidRPr="00720140">
        <w:rPr>
          <w:i/>
          <w:iCs/>
        </w:rPr>
        <w:t xml:space="preserve">esign for </w:t>
      </w:r>
      <w:r w:rsidR="0025006B" w:rsidRPr="00720140">
        <w:rPr>
          <w:i/>
          <w:iCs/>
        </w:rPr>
        <w:t>l</w:t>
      </w:r>
      <w:r w:rsidR="003A5B88" w:rsidRPr="00720140">
        <w:rPr>
          <w:i/>
          <w:iCs/>
        </w:rPr>
        <w:t xml:space="preserve">earning in the </w:t>
      </w:r>
      <w:r w:rsidR="0025006B" w:rsidRPr="00720140">
        <w:rPr>
          <w:i/>
          <w:iCs/>
        </w:rPr>
        <w:t>c</w:t>
      </w:r>
      <w:r w:rsidR="003A5B88" w:rsidRPr="00720140">
        <w:rPr>
          <w:i/>
          <w:iCs/>
        </w:rPr>
        <w:t xml:space="preserve">lassroom: Practical </w:t>
      </w:r>
      <w:r w:rsidR="0025006B" w:rsidRPr="00720140">
        <w:rPr>
          <w:i/>
          <w:iCs/>
        </w:rPr>
        <w:t>a</w:t>
      </w:r>
      <w:r w:rsidR="003A5B88" w:rsidRPr="00720140">
        <w:rPr>
          <w:i/>
          <w:iCs/>
        </w:rPr>
        <w:t>pplications</w:t>
      </w:r>
      <w:r w:rsidRPr="00720140">
        <w:t>.</w:t>
      </w:r>
      <w:r w:rsidR="003A5B88" w:rsidRPr="00720140">
        <w:t xml:space="preserve"> Guilford </w:t>
      </w:r>
      <w:r w:rsidR="0025006B" w:rsidRPr="00720140">
        <w:t>Press.</w:t>
      </w:r>
    </w:p>
    <w:p w14:paraId="6C8C99B9" w14:textId="7E5379CB" w:rsidR="002E7557" w:rsidRPr="00720140" w:rsidRDefault="002E7557" w:rsidP="0084259A">
      <w:pPr>
        <w:pStyle w:val="CUNYAPA7"/>
      </w:pPr>
      <w:r w:rsidRPr="00720140">
        <w:t xml:space="preserve">Hamraie, Aimi. “Designing Collective Access.” </w:t>
      </w:r>
      <w:r w:rsidRPr="00720140">
        <w:rPr>
          <w:i/>
          <w:iCs/>
        </w:rPr>
        <w:t>Disability Studies Quarterly 33</w:t>
      </w:r>
      <w:r w:rsidRPr="00720140">
        <w:t xml:space="preserve"> (4).</w:t>
      </w:r>
    </w:p>
    <w:p w14:paraId="088178B2" w14:textId="184B140B" w:rsidR="004C4DF6" w:rsidRPr="00720140" w:rsidRDefault="00ED5E26" w:rsidP="0084259A">
      <w:pPr>
        <w:pStyle w:val="CUNYAPA7"/>
      </w:pPr>
      <w:r w:rsidRPr="00720140">
        <w:t xml:space="preserve">Houser, N. (1987). Toward a Peircean </w:t>
      </w:r>
      <w:r w:rsidR="004A379D" w:rsidRPr="00720140">
        <w:t>s</w:t>
      </w:r>
      <w:r w:rsidRPr="00720140">
        <w:t xml:space="preserve">emiotic </w:t>
      </w:r>
      <w:r w:rsidR="004A379D" w:rsidRPr="00720140">
        <w:t>t</w:t>
      </w:r>
      <w:r w:rsidRPr="00720140">
        <w:t xml:space="preserve">heory of </w:t>
      </w:r>
      <w:r w:rsidR="004A379D" w:rsidRPr="00720140">
        <w:t>l</w:t>
      </w:r>
      <w:r w:rsidRPr="00720140">
        <w:t xml:space="preserve">earning. </w:t>
      </w:r>
      <w:r w:rsidRPr="00720140">
        <w:rPr>
          <w:i/>
          <w:iCs/>
        </w:rPr>
        <w:t>The American Journal of Semiotics 5</w:t>
      </w:r>
      <w:r w:rsidRPr="00720140">
        <w:t>(2), 251–274.</w:t>
      </w:r>
      <w:r w:rsidR="00CA1793" w:rsidRPr="00720140">
        <w:t xml:space="preserve"> </w:t>
      </w:r>
      <w:hyperlink r:id="rId14" w:history="1">
        <w:r w:rsidR="00CA1793" w:rsidRPr="00720140">
          <w:rPr>
            <w:color w:val="0000FF"/>
            <w:u w:val="single"/>
          </w:rPr>
          <w:t>https://doi.org/10.5840/ajs19875219</w:t>
        </w:r>
      </w:hyperlink>
    </w:p>
    <w:p w14:paraId="3705E800" w14:textId="77777777" w:rsidR="00CA1793" w:rsidRPr="00720140" w:rsidRDefault="00CA1793" w:rsidP="0084259A">
      <w:pPr>
        <w:pStyle w:val="CUNYAPA7"/>
      </w:pPr>
      <w:r w:rsidRPr="00720140">
        <w:lastRenderedPageBreak/>
        <w:t xml:space="preserve">Kuusisto, S. (2019, June 4). Universal Design and Utopian Insistence. </w:t>
      </w:r>
      <w:r w:rsidRPr="00720140">
        <w:rPr>
          <w:i/>
          <w:iCs/>
        </w:rPr>
        <w:t xml:space="preserve">Planet of the blind. </w:t>
      </w:r>
      <w:hyperlink r:id="rId15" w:history="1">
        <w:r w:rsidRPr="00720140">
          <w:rPr>
            <w:rStyle w:val="Hyperlink"/>
          </w:rPr>
          <w:t>https://stephenkuusisto.com/2019/06/04/universal-design-and-utopian-insistence/</w:t>
        </w:r>
      </w:hyperlink>
    </w:p>
    <w:p w14:paraId="6B987FE9" w14:textId="4E7B3B35" w:rsidR="00244DB2" w:rsidRPr="00720140" w:rsidRDefault="00CD7AA3" w:rsidP="0084259A">
      <w:pPr>
        <w:pStyle w:val="CUNYAPA7"/>
      </w:pPr>
      <w:r w:rsidRPr="00720140">
        <w:t>Kuusisto, S. (</w:t>
      </w:r>
      <w:r w:rsidR="00CA1793" w:rsidRPr="00720140">
        <w:t xml:space="preserve">2020, </w:t>
      </w:r>
      <w:r w:rsidR="00DC2398" w:rsidRPr="00720140">
        <w:t>January 8</w:t>
      </w:r>
      <w:r w:rsidRPr="00720140">
        <w:t xml:space="preserve">). </w:t>
      </w:r>
      <w:r w:rsidR="00DC2398" w:rsidRPr="00720140">
        <w:t>Eye rolling and disability, a brief explanation</w:t>
      </w:r>
      <w:r w:rsidR="00CA1793" w:rsidRPr="00720140">
        <w:t xml:space="preserve">. </w:t>
      </w:r>
      <w:r w:rsidR="00CA1793" w:rsidRPr="00720140">
        <w:rPr>
          <w:i/>
          <w:iCs/>
        </w:rPr>
        <w:t>Planet of the Blind.</w:t>
      </w:r>
      <w:r w:rsidR="00CA1793" w:rsidRPr="00720140">
        <w:t xml:space="preserve"> </w:t>
      </w:r>
      <w:hyperlink r:id="rId16" w:history="1">
        <w:r w:rsidR="00275DD4" w:rsidRPr="00720140">
          <w:rPr>
            <w:rStyle w:val="Hyperlink"/>
          </w:rPr>
          <w:t>https://stephenkuusisto.com/2020/01/08/eye-rolling-and-disability-a-brief-explanation</w:t>
        </w:r>
      </w:hyperlink>
      <w:r w:rsidR="00275DD4" w:rsidRPr="00720140">
        <w:t>/</w:t>
      </w:r>
    </w:p>
    <w:p w14:paraId="5847EEBF" w14:textId="7EDCF1E8" w:rsidR="00542AD9" w:rsidRPr="00720140" w:rsidRDefault="00542AD9" w:rsidP="00542AD9">
      <w:pPr>
        <w:ind w:left="720" w:hanging="720"/>
      </w:pPr>
      <w:r w:rsidRPr="00720140">
        <w:t xml:space="preserve">Lewiecki-Wilson, C., &amp; Brueggemann, B. J. (2008). Introduction. In C. Lewiecki-Wilson, &amp; B. J. Brueggemann (Eds.), </w:t>
      </w:r>
      <w:r w:rsidRPr="00720140">
        <w:rPr>
          <w:i/>
          <w:iCs/>
        </w:rPr>
        <w:t>Disability and the teaching of writing: A critical sourcebook</w:t>
      </w:r>
      <w:r w:rsidRPr="00720140">
        <w:t xml:space="preserve"> (pp. 1-9). Bedford/St. Martin's.</w:t>
      </w:r>
    </w:p>
    <w:p w14:paraId="4CBC5058" w14:textId="596C5125" w:rsidR="002F2E5F" w:rsidRPr="00720140" w:rsidRDefault="00244DB2" w:rsidP="00542AD9">
      <w:pPr>
        <w:ind w:left="720" w:hanging="720"/>
      </w:pPr>
      <w:r w:rsidRPr="00720140">
        <w:t xml:space="preserve">Margolis, J. (2007). “Rethinking Peirce’s </w:t>
      </w:r>
      <w:r w:rsidR="00CA1793" w:rsidRPr="00720140">
        <w:t>f</w:t>
      </w:r>
      <w:r w:rsidRPr="00720140">
        <w:t xml:space="preserve">allibilism.” </w:t>
      </w:r>
      <w:r w:rsidRPr="00720140">
        <w:rPr>
          <w:i/>
          <w:iCs/>
        </w:rPr>
        <w:t>Transactions of the Charles S. Peirce Society</w:t>
      </w:r>
      <w:r w:rsidR="00D43260" w:rsidRPr="00720140">
        <w:rPr>
          <w:i/>
          <w:iCs/>
        </w:rPr>
        <w:t>,</w:t>
      </w:r>
      <w:r w:rsidRPr="00720140">
        <w:rPr>
          <w:i/>
          <w:iCs/>
        </w:rPr>
        <w:t xml:space="preserve"> 43</w:t>
      </w:r>
      <w:r w:rsidRPr="00720140">
        <w:t>(2), 229-249.</w:t>
      </w:r>
    </w:p>
    <w:p w14:paraId="2C8D0322" w14:textId="44E5029E" w:rsidR="009A28B2" w:rsidRPr="00720140" w:rsidRDefault="002F2E5F" w:rsidP="0084259A">
      <w:pPr>
        <w:pStyle w:val="CUNYAPA7"/>
      </w:pPr>
      <w:r w:rsidRPr="00720140">
        <w:t>McKenzie, L. (</w:t>
      </w:r>
      <w:r w:rsidR="009920DD" w:rsidRPr="00720140">
        <w:t xml:space="preserve">2019, </w:t>
      </w:r>
      <w:r w:rsidRPr="00720140">
        <w:t xml:space="preserve">December 2). </w:t>
      </w:r>
      <w:r w:rsidR="00D26B0B" w:rsidRPr="00720140">
        <w:t xml:space="preserve">The Digital </w:t>
      </w:r>
      <w:r w:rsidR="009920DD" w:rsidRPr="00720140">
        <w:t>c</w:t>
      </w:r>
      <w:r w:rsidR="00D26B0B" w:rsidRPr="00720140">
        <w:t xml:space="preserve">ourseware </w:t>
      </w:r>
      <w:r w:rsidR="009920DD" w:rsidRPr="00720140">
        <w:t>a</w:t>
      </w:r>
      <w:r w:rsidR="00D26B0B" w:rsidRPr="00720140">
        <w:t xml:space="preserve">ccessibility </w:t>
      </w:r>
      <w:r w:rsidR="009920DD" w:rsidRPr="00720140">
        <w:t>p</w:t>
      </w:r>
      <w:r w:rsidR="00D26B0B" w:rsidRPr="00720140">
        <w:t>roblem</w:t>
      </w:r>
      <w:r w:rsidRPr="00720140">
        <w:t xml:space="preserve">. </w:t>
      </w:r>
      <w:r w:rsidRPr="00720140">
        <w:rPr>
          <w:i/>
          <w:iCs/>
        </w:rPr>
        <w:t>Inside Higher Education</w:t>
      </w:r>
      <w:r w:rsidR="00244DB2" w:rsidRPr="00720140">
        <w:t>.</w:t>
      </w:r>
      <w:r w:rsidR="009920DD" w:rsidRPr="00720140">
        <w:rPr>
          <w:color w:val="2F5496" w:themeColor="accent1" w:themeShade="BF"/>
        </w:rPr>
        <w:t xml:space="preserve"> </w:t>
      </w:r>
      <w:hyperlink r:id="rId17" w:history="1">
        <w:r w:rsidR="009920DD" w:rsidRPr="00720140">
          <w:rPr>
            <w:rStyle w:val="Hyperlink"/>
            <w:color w:val="0432FF"/>
          </w:rPr>
          <w:t>https://www.insidehighered.com/digital-learning/article/2019/12/02/professors-colleges-and-companies-struggle-make-digital</w:t>
        </w:r>
      </w:hyperlink>
    </w:p>
    <w:p w14:paraId="231AEFD5" w14:textId="6773A41F" w:rsidR="003C3700" w:rsidRPr="00720140" w:rsidRDefault="009A28B2" w:rsidP="0084259A">
      <w:pPr>
        <w:pStyle w:val="CUNYAPA7"/>
      </w:pPr>
      <w:r w:rsidRPr="00720140">
        <w:t xml:space="preserve">Miner, R. (2017). </w:t>
      </w:r>
      <w:r w:rsidR="003C3700" w:rsidRPr="00720140">
        <w:t xml:space="preserve">Enhancing campus accessibility: </w:t>
      </w:r>
      <w:r w:rsidRPr="00720140">
        <w:t>A disability studies approach to teaching technical communication</w:t>
      </w:r>
      <w:r w:rsidR="003C3700" w:rsidRPr="00720140">
        <w:t xml:space="preserve">. In M. S. Jeffress (Ed.), </w:t>
      </w:r>
      <w:r w:rsidR="003C3700" w:rsidRPr="00720140">
        <w:rPr>
          <w:i/>
          <w:iCs/>
        </w:rPr>
        <w:t xml:space="preserve">Pedagogy, disability and communication: Applying disability studies in the classroom </w:t>
      </w:r>
      <w:r w:rsidR="003C3700" w:rsidRPr="00720140">
        <w:t>(pp. 163-183). Routledge.</w:t>
      </w:r>
    </w:p>
    <w:p w14:paraId="20A25027" w14:textId="138300BA" w:rsidR="00A92592" w:rsidRPr="00720140" w:rsidRDefault="0025604C" w:rsidP="00A92592">
      <w:pPr>
        <w:pStyle w:val="CUNYAPA7"/>
        <w:rPr>
          <w:color w:val="0000FF"/>
          <w:u w:val="single"/>
        </w:rPr>
      </w:pPr>
      <w:r w:rsidRPr="00720140">
        <w:t xml:space="preserve">Nöth, W. (2018). Education in the domain of secondness. </w:t>
      </w:r>
      <w:r w:rsidR="005F3C56" w:rsidRPr="00720140">
        <w:t xml:space="preserve">In </w:t>
      </w:r>
      <w:r w:rsidR="007021F5" w:rsidRPr="00720140">
        <w:t xml:space="preserve">A. </w:t>
      </w:r>
      <w:r w:rsidR="005F3C56" w:rsidRPr="00720140">
        <w:t>Stables</w:t>
      </w:r>
      <w:r w:rsidR="007021F5" w:rsidRPr="00720140">
        <w:t>;</w:t>
      </w:r>
      <w:r w:rsidR="005F3C56" w:rsidRPr="00720140">
        <w:t xml:space="preserve"> </w:t>
      </w:r>
      <w:r w:rsidR="007021F5" w:rsidRPr="00720140">
        <w:t xml:space="preserve">W. </w:t>
      </w:r>
      <w:r w:rsidR="005F3C56" w:rsidRPr="00720140">
        <w:t>Nöth</w:t>
      </w:r>
      <w:r w:rsidR="007021F5" w:rsidRPr="00720140">
        <w:t xml:space="preserve">; A. </w:t>
      </w:r>
      <w:r w:rsidR="005F3C56" w:rsidRPr="00720140">
        <w:t>Olteanu</w:t>
      </w:r>
      <w:r w:rsidR="007021F5" w:rsidRPr="00720140">
        <w:t xml:space="preserve">; S. </w:t>
      </w:r>
      <w:r w:rsidR="005F3C56" w:rsidRPr="00720140">
        <w:t>Pesce</w:t>
      </w:r>
      <w:r w:rsidR="007021F5" w:rsidRPr="00720140">
        <w:t>;</w:t>
      </w:r>
      <w:r w:rsidR="005F3C56" w:rsidRPr="00720140">
        <w:t xml:space="preserve"> &amp; </w:t>
      </w:r>
      <w:r w:rsidR="007021F5" w:rsidRPr="00720140">
        <w:t xml:space="preserve">E. </w:t>
      </w:r>
      <w:r w:rsidR="005F3C56" w:rsidRPr="00720140">
        <w:t>Pikkarainen</w:t>
      </w:r>
      <w:r w:rsidR="007021F5" w:rsidRPr="00720140">
        <w:t xml:space="preserve"> </w:t>
      </w:r>
      <w:r w:rsidR="005F3C56" w:rsidRPr="00720140">
        <w:t xml:space="preserve">(Eds..), </w:t>
      </w:r>
      <w:r w:rsidR="005F3C56" w:rsidRPr="00720140">
        <w:rPr>
          <w:i/>
          <w:iCs/>
        </w:rPr>
        <w:t xml:space="preserve">Semiotic theory of learning: New perspectives in the philosophy of education </w:t>
      </w:r>
      <w:r w:rsidRPr="00720140">
        <w:t>(pp. 73-86)</w:t>
      </w:r>
      <w:r w:rsidR="005F3C56" w:rsidRPr="00720140">
        <w:t>.</w:t>
      </w:r>
      <w:r w:rsidRPr="00720140">
        <w:t xml:space="preserve"> Routledge. </w:t>
      </w:r>
      <w:r w:rsidR="005F3C56" w:rsidRPr="00720140">
        <w:rPr>
          <w:color w:val="0000FF"/>
          <w:u w:val="single"/>
        </w:rPr>
        <w:t xml:space="preserve">https://doi.org/10.4324/9781315182438 </w:t>
      </w:r>
    </w:p>
    <w:p w14:paraId="1EC0DF15" w14:textId="6A905521" w:rsidR="0078524B" w:rsidRPr="00720140" w:rsidRDefault="0078524B" w:rsidP="0078524B">
      <w:pPr>
        <w:ind w:left="720" w:hanging="720"/>
      </w:pPr>
      <w:r w:rsidRPr="00720140">
        <w:t xml:space="preserve">Nöth, W. (2014). Signs as educators: Peircean insights. In I. Semetsky, &amp; A. Stables (Eds.), </w:t>
      </w:r>
      <w:r w:rsidRPr="00720140">
        <w:rPr>
          <w:i/>
          <w:iCs/>
        </w:rPr>
        <w:t>Pedagogy and edusemiotics</w:t>
      </w:r>
      <w:r w:rsidRPr="00720140">
        <w:t xml:space="preserve"> (pp. 7–18). Sense Publishers.</w:t>
      </w:r>
    </w:p>
    <w:p w14:paraId="539BE3D8" w14:textId="06239968" w:rsidR="00246E61" w:rsidRPr="00720140" w:rsidRDefault="00246E61" w:rsidP="00542AD9">
      <w:pPr>
        <w:ind w:left="720" w:hanging="720"/>
      </w:pPr>
      <w:r w:rsidRPr="00720140">
        <w:t xml:space="preserve">Peirce, Charles S., (1868). Some </w:t>
      </w:r>
      <w:r w:rsidR="00186FEF" w:rsidRPr="00720140">
        <w:t>c</w:t>
      </w:r>
      <w:r w:rsidRPr="00720140">
        <w:t xml:space="preserve">onsequences of </w:t>
      </w:r>
      <w:r w:rsidR="00186FEF" w:rsidRPr="00720140">
        <w:t>f</w:t>
      </w:r>
      <w:r w:rsidRPr="00720140">
        <w:t xml:space="preserve">our </w:t>
      </w:r>
      <w:r w:rsidR="00186FEF" w:rsidRPr="00720140">
        <w:t>i</w:t>
      </w:r>
      <w:r w:rsidRPr="00720140">
        <w:t>ncapacities</w:t>
      </w:r>
      <w:r w:rsidR="00186FEF" w:rsidRPr="00720140">
        <w:t xml:space="preserve">. </w:t>
      </w:r>
      <w:r w:rsidRPr="00720140">
        <w:rPr>
          <w:i/>
          <w:iCs/>
        </w:rPr>
        <w:t>Journal of Speculative</w:t>
      </w:r>
      <w:r w:rsidR="00542AD9" w:rsidRPr="00720140">
        <w:rPr>
          <w:i/>
          <w:iCs/>
        </w:rPr>
        <w:t xml:space="preserve"> </w:t>
      </w:r>
      <w:r w:rsidRPr="00720140">
        <w:rPr>
          <w:i/>
          <w:iCs/>
        </w:rPr>
        <w:t>Philosophy</w:t>
      </w:r>
      <w:r w:rsidR="00186FEF" w:rsidRPr="00720140">
        <w:rPr>
          <w:i/>
          <w:iCs/>
        </w:rPr>
        <w:t>,</w:t>
      </w:r>
      <w:r w:rsidRPr="00720140">
        <w:t xml:space="preserve"> </w:t>
      </w:r>
      <w:r w:rsidRPr="00720140">
        <w:rPr>
          <w:i/>
          <w:iCs/>
        </w:rPr>
        <w:t>2</w:t>
      </w:r>
      <w:r w:rsidRPr="00720140">
        <w:t>, 140-157.</w:t>
      </w:r>
      <w:r w:rsidR="00186FEF" w:rsidRPr="00720140">
        <w:t xml:space="preserve"> </w:t>
      </w:r>
      <w:hyperlink r:id="rId18" w:history="1">
        <w:r w:rsidR="00186FEF" w:rsidRPr="00720140">
          <w:rPr>
            <w:rStyle w:val="Hyperlink"/>
          </w:rPr>
          <w:t>http://www.peirce.org/writings/p27.html</w:t>
        </w:r>
      </w:hyperlink>
    </w:p>
    <w:p w14:paraId="319108CF" w14:textId="35E6B72A" w:rsidR="00A92592" w:rsidRPr="00720140" w:rsidRDefault="00A92592" w:rsidP="00A92592">
      <w:pPr>
        <w:pStyle w:val="CUNYAPA7"/>
      </w:pPr>
      <w:r w:rsidRPr="00720140">
        <w:lastRenderedPageBreak/>
        <w:t>Peirce, C. S.</w:t>
      </w:r>
      <w:r w:rsidR="006802F3" w:rsidRPr="00720140">
        <w:t xml:space="preserve"> [W].</w:t>
      </w:r>
      <w:r w:rsidRPr="00720140">
        <w:t xml:space="preserve"> (1982). </w:t>
      </w:r>
      <w:r w:rsidRPr="00720140">
        <w:rPr>
          <w:i/>
          <w:iCs/>
        </w:rPr>
        <w:t>Writings of Charles S. Peirce: A chronological edition, vol. 8: 1890–1892</w:t>
      </w:r>
      <w:r w:rsidRPr="00720140">
        <w:t xml:space="preserve">. (Peirce Edition Project, Ed.). Indiana University Press. </w:t>
      </w:r>
      <w:hyperlink r:id="rId19" w:anchor="info_wrap" w:history="1">
        <w:r w:rsidRPr="00720140">
          <w:rPr>
            <w:rStyle w:val="Hyperlink"/>
          </w:rPr>
          <w:t>https://muse.jhu.edu/book/2865#info_wrap</w:t>
        </w:r>
      </w:hyperlink>
    </w:p>
    <w:p w14:paraId="2DA3C6E5" w14:textId="78C6005B" w:rsidR="00E2134F" w:rsidRPr="00720140" w:rsidRDefault="00A92592" w:rsidP="00A92592">
      <w:pPr>
        <w:pStyle w:val="CUNYAPA7"/>
      </w:pPr>
      <w:r w:rsidRPr="00720140">
        <w:t xml:space="preserve">Peirce, C. S. </w:t>
      </w:r>
      <w:r w:rsidR="00DB6413" w:rsidRPr="00720140">
        <w:t xml:space="preserve">[E.P.] </w:t>
      </w:r>
      <w:r w:rsidRPr="00720140">
        <w:t xml:space="preserve">(1998). </w:t>
      </w:r>
      <w:r w:rsidRPr="00720140">
        <w:rPr>
          <w:i/>
          <w:iCs/>
        </w:rPr>
        <w:t>The essential Peirce: Selected philosophical writings, Volume 2 (1893-1913).</w:t>
      </w:r>
      <w:r w:rsidRPr="00720140">
        <w:t xml:space="preserve"> (Peirce Edition Project, Ed.). Indiana University Press.</w:t>
      </w:r>
    </w:p>
    <w:p w14:paraId="5620DAA0" w14:textId="1AE04740" w:rsidR="00651196" w:rsidRPr="00720140" w:rsidRDefault="00651196" w:rsidP="00A92592">
      <w:pPr>
        <w:pStyle w:val="CUNYAPA7"/>
      </w:pPr>
      <w:r w:rsidRPr="00720140">
        <w:t>Peirce, C. S., Hartshorne, C., Weiss, P., &amp; Burks, A. W. (Eds.)</w:t>
      </w:r>
      <w:r w:rsidR="00AA23DC" w:rsidRPr="00720140">
        <w:t xml:space="preserve"> [CP]</w:t>
      </w:r>
      <w:r w:rsidRPr="00720140">
        <w:t xml:space="preserve">. (1931–58). </w:t>
      </w:r>
      <w:r w:rsidRPr="00720140">
        <w:rPr>
          <w:i/>
          <w:iCs/>
        </w:rPr>
        <w:t>Collected papers</w:t>
      </w:r>
      <w:r w:rsidRPr="00720140">
        <w:t>. (8 vols.). Belknap Press of Harvard University Press.</w:t>
      </w:r>
    </w:p>
    <w:p w14:paraId="390FCF05" w14:textId="299EFE6A" w:rsidR="007878FF" w:rsidRPr="00720140" w:rsidRDefault="003C3700" w:rsidP="0084259A">
      <w:pPr>
        <w:pStyle w:val="CUNYAPA7"/>
      </w:pPr>
      <w:r w:rsidRPr="00720140">
        <w:t xml:space="preserve">Plowright, D. (2016). </w:t>
      </w:r>
      <w:r w:rsidRPr="00720140">
        <w:rPr>
          <w:i/>
          <w:iCs/>
        </w:rPr>
        <w:t>Charles Sanders Peirce: Pragmatism and education</w:t>
      </w:r>
      <w:r w:rsidRPr="00720140">
        <w:t xml:space="preserve">. </w:t>
      </w:r>
      <w:r w:rsidR="00A92592" w:rsidRPr="00720140">
        <w:t>S</w:t>
      </w:r>
      <w:r w:rsidR="00A92592" w:rsidRPr="00720140">
        <w:rPr>
          <w:rStyle w:val="bibliographic-informationvalue"/>
        </w:rPr>
        <w:t>pringer</w:t>
      </w:r>
      <w:r w:rsidR="00610BD0" w:rsidRPr="00720140">
        <w:rPr>
          <w:rStyle w:val="bibliographic-informationvalue"/>
        </w:rPr>
        <w:t xml:space="preserve">. </w:t>
      </w:r>
      <w:hyperlink r:id="rId20" w:history="1">
        <w:r w:rsidR="00A92592" w:rsidRPr="00720140">
          <w:rPr>
            <w:rStyle w:val="Hyperlink"/>
          </w:rPr>
          <w:t>https://link.springer.com/book/10.1007/978-94-017-7356-0</w:t>
        </w:r>
      </w:hyperlink>
    </w:p>
    <w:p w14:paraId="575B4E10" w14:textId="2D443408" w:rsidR="00EA0DA7" w:rsidRPr="00720140" w:rsidRDefault="007576AE" w:rsidP="0084259A">
      <w:pPr>
        <w:pStyle w:val="CUNYAPA7"/>
      </w:pPr>
      <w:r w:rsidRPr="00720140">
        <w:t xml:space="preserve">Rogers, L. J., &amp; Swadener, B. B. (2001). </w:t>
      </w:r>
      <w:r w:rsidRPr="00720140">
        <w:rPr>
          <w:i/>
          <w:iCs/>
        </w:rPr>
        <w:t>Semiotics and dis/ability: Interrogating categories of difference</w:t>
      </w:r>
      <w:r w:rsidRPr="00720140">
        <w:t>. State University of New York Press.</w:t>
      </w:r>
    </w:p>
    <w:p w14:paraId="2C8CD733" w14:textId="5CCB6962" w:rsidR="006F01E4" w:rsidRPr="00720140" w:rsidRDefault="006F01E4" w:rsidP="0084259A">
      <w:pPr>
        <w:pStyle w:val="CUNYAPA7"/>
      </w:pPr>
      <w:r w:rsidRPr="00720140">
        <w:t xml:space="preserve">Rømer, T. A. (2019). “A critique of John Hattie's theory of visible learning.” </w:t>
      </w:r>
      <w:r w:rsidRPr="00720140">
        <w:rPr>
          <w:i/>
          <w:iCs/>
        </w:rPr>
        <w:t>Educational Philosophy and Theory 51</w:t>
      </w:r>
      <w:r w:rsidRPr="00720140">
        <w:t xml:space="preserve"> (6), 587-598. doi:10.1080/00131857.2018.1488216</w:t>
      </w:r>
    </w:p>
    <w:p w14:paraId="544C285F" w14:textId="2D3A8BF2" w:rsidR="007576AE" w:rsidRPr="00720140" w:rsidRDefault="00EA0DA7" w:rsidP="0084259A">
      <w:pPr>
        <w:pStyle w:val="CUNYAPA7"/>
        <w:rPr>
          <w:rStyle w:val="Hyperlink"/>
        </w:rPr>
      </w:pPr>
      <w:r w:rsidRPr="00720140">
        <w:t xml:space="preserve">Rose, D. H., &amp; Gravel, J. W. (2010). Universal design for learning. In </w:t>
      </w:r>
      <w:r w:rsidR="000B0C29" w:rsidRPr="00720140">
        <w:t xml:space="preserve">E. Baker, </w:t>
      </w:r>
      <w:r w:rsidR="00D57C36" w:rsidRPr="00720140">
        <w:t xml:space="preserve">P. Peterson, </w:t>
      </w:r>
      <w:r w:rsidR="000B0C29" w:rsidRPr="00720140">
        <w:t>&amp; B. McGaw</w:t>
      </w:r>
      <w:r w:rsidR="00D57C36" w:rsidRPr="00720140">
        <w:t xml:space="preserve"> </w:t>
      </w:r>
      <w:r w:rsidR="000B0C29" w:rsidRPr="00720140">
        <w:t>(Eds.)</w:t>
      </w:r>
      <w:r w:rsidR="00D57C36" w:rsidRPr="00720140">
        <w:t>.</w:t>
      </w:r>
      <w:r w:rsidR="000B0C29" w:rsidRPr="00720140">
        <w:t xml:space="preserve"> </w:t>
      </w:r>
      <w:r w:rsidR="00D57C36" w:rsidRPr="00720140">
        <w:rPr>
          <w:i/>
          <w:iCs/>
        </w:rPr>
        <w:t>International e</w:t>
      </w:r>
      <w:r w:rsidRPr="00720140">
        <w:rPr>
          <w:i/>
          <w:iCs/>
        </w:rPr>
        <w:t xml:space="preserve">ncyclopedia of </w:t>
      </w:r>
      <w:r w:rsidR="00D57C36" w:rsidRPr="00720140">
        <w:rPr>
          <w:i/>
          <w:iCs/>
        </w:rPr>
        <w:t>e</w:t>
      </w:r>
      <w:r w:rsidRPr="00720140">
        <w:rPr>
          <w:i/>
          <w:iCs/>
        </w:rPr>
        <w:t>ducation</w:t>
      </w:r>
      <w:r w:rsidR="00D57C36" w:rsidRPr="00720140">
        <w:rPr>
          <w:i/>
          <w:iCs/>
        </w:rPr>
        <w:t>, 3rd Ed.</w:t>
      </w:r>
      <w:r w:rsidRPr="00720140">
        <w:t xml:space="preserve"> (pp. 119-124)</w:t>
      </w:r>
      <w:r w:rsidR="000B0C29" w:rsidRPr="00720140">
        <w:t>.</w:t>
      </w:r>
      <w:r w:rsidRPr="00720140">
        <w:t xml:space="preserve"> </w:t>
      </w:r>
      <w:r w:rsidR="00770DA6" w:rsidRPr="00720140">
        <w:t>Elsevier</w:t>
      </w:r>
      <w:r w:rsidR="00D57C36" w:rsidRPr="00720140">
        <w:t xml:space="preserve">.  </w:t>
      </w:r>
      <w:hyperlink r:id="rId21" w:history="1">
        <w:r w:rsidR="00D57C36" w:rsidRPr="00720140">
          <w:rPr>
            <w:rStyle w:val="Hyperlink"/>
          </w:rPr>
          <w:t>http://www.cast.org/publications/2010/universal-design-for-learning-rose-gravel</w:t>
        </w:r>
      </w:hyperlink>
    </w:p>
    <w:p w14:paraId="3A178CDE" w14:textId="4274FB05" w:rsidR="00436473" w:rsidRPr="00720140" w:rsidRDefault="00436473" w:rsidP="0084259A">
      <w:pPr>
        <w:pStyle w:val="CUNYAPA7"/>
        <w:rPr>
          <w:rStyle w:val="Hyperlink"/>
          <w:u w:val="none"/>
        </w:rPr>
      </w:pPr>
      <w:r w:rsidRPr="00720140">
        <w:rPr>
          <w:rStyle w:val="Hyperlink"/>
          <w:u w:val="none"/>
        </w:rPr>
        <w:t xml:space="preserve">Shook, J. R. &amp; Margolis, J. (2006). </w:t>
      </w:r>
      <w:r w:rsidRPr="00720140">
        <w:rPr>
          <w:rStyle w:val="Hyperlink"/>
          <w:i/>
          <w:iCs/>
          <w:u w:val="none"/>
        </w:rPr>
        <w:t>A companion to pragmatism</w:t>
      </w:r>
      <w:r w:rsidRPr="00720140">
        <w:rPr>
          <w:rStyle w:val="Hyperlink"/>
          <w:u w:val="none"/>
        </w:rPr>
        <w:t>. Blackwell.</w:t>
      </w:r>
    </w:p>
    <w:p w14:paraId="3303947E" w14:textId="5028E99E" w:rsidR="00E0011B" w:rsidRPr="00720140" w:rsidRDefault="00BF3E4E" w:rsidP="0084259A">
      <w:pPr>
        <w:pStyle w:val="CUNYAPA7"/>
      </w:pPr>
      <w:r w:rsidRPr="00720140">
        <w:t xml:space="preserve">Short, T. (2010). Did Peirce have a cosmology? </w:t>
      </w:r>
      <w:r w:rsidRPr="00720140">
        <w:rPr>
          <w:i/>
          <w:iCs/>
        </w:rPr>
        <w:t>Transactions of the Charles S. Peirce Society, 46</w:t>
      </w:r>
      <w:r w:rsidRPr="00720140">
        <w:t xml:space="preserve"> (4) 521-543. </w:t>
      </w:r>
      <w:r w:rsidR="00E0011B" w:rsidRPr="00720140">
        <w:t>DOI</w:t>
      </w:r>
      <w:r w:rsidRPr="00720140">
        <w:t>:10.2979/trancharpeirsoc.2010.46.4.521</w:t>
      </w:r>
    </w:p>
    <w:p w14:paraId="17BA0F88" w14:textId="4C9724D2" w:rsidR="0096439F" w:rsidRPr="00720140" w:rsidRDefault="0096439F" w:rsidP="0084259A">
      <w:pPr>
        <w:pStyle w:val="CUNYAPA7"/>
      </w:pPr>
      <w:r w:rsidRPr="00720140">
        <w:t xml:space="preserve">Smith, S. (2007). The first rush of movement: A phenomenological preface to movement education. </w:t>
      </w:r>
      <w:r w:rsidRPr="00720140">
        <w:rPr>
          <w:i/>
        </w:rPr>
        <w:t>Phenomenology &amp; Practice 1</w:t>
      </w:r>
      <w:r w:rsidR="00E0011B" w:rsidRPr="00720140">
        <w:rPr>
          <w:i/>
        </w:rPr>
        <w:t xml:space="preserve"> </w:t>
      </w:r>
      <w:r w:rsidRPr="00720140">
        <w:t>(1), 47-75.</w:t>
      </w:r>
      <w:r w:rsidR="00D57C36" w:rsidRPr="00720140">
        <w:t xml:space="preserve"> </w:t>
      </w:r>
      <w:hyperlink r:id="rId22" w:history="1">
        <w:r w:rsidR="00D57C36" w:rsidRPr="00720140">
          <w:rPr>
            <w:color w:val="0000FF"/>
            <w:u w:val="single"/>
          </w:rPr>
          <w:t xml:space="preserve">https://doi.org/10.29173/pandpr19805 </w:t>
        </w:r>
      </w:hyperlink>
    </w:p>
    <w:p w14:paraId="405C24DA" w14:textId="1D37CA45" w:rsidR="00D57C36" w:rsidRPr="00720140" w:rsidRDefault="0096439F" w:rsidP="0084259A">
      <w:pPr>
        <w:pStyle w:val="CUNYAPA7"/>
      </w:pPr>
      <w:r w:rsidRPr="00720140">
        <w:lastRenderedPageBreak/>
        <w:t>Spinelli, E. (</w:t>
      </w:r>
      <w:r w:rsidR="00BE1867" w:rsidRPr="00720140">
        <w:t>2005</w:t>
      </w:r>
      <w:r w:rsidRPr="00720140">
        <w:t xml:space="preserve">) </w:t>
      </w:r>
      <w:r w:rsidRPr="00720140">
        <w:rPr>
          <w:i/>
        </w:rPr>
        <w:t>The Interpreted world: An introduction to phenomenological psychology</w:t>
      </w:r>
      <w:r w:rsidRPr="00720140">
        <w:t>.</w:t>
      </w:r>
      <w:r w:rsidR="00D57C36" w:rsidRPr="00720140">
        <w:t xml:space="preserve"> </w:t>
      </w:r>
      <w:r w:rsidRPr="00720140">
        <w:t>Sage.</w:t>
      </w:r>
      <w:r w:rsidR="00D57C36" w:rsidRPr="00720140">
        <w:t xml:space="preserve"> </w:t>
      </w:r>
      <w:hyperlink r:id="rId23" w:history="1">
        <w:r w:rsidR="00D57C36" w:rsidRPr="00720140">
          <w:rPr>
            <w:rStyle w:val="Hyperlink"/>
          </w:rPr>
          <w:t>https://uk.sagepub.com/en-gb/eur/the-interpreted-world/book227009</w:t>
        </w:r>
      </w:hyperlink>
    </w:p>
    <w:p w14:paraId="68589A2D" w14:textId="133798B3" w:rsidR="0010739B" w:rsidRPr="00720140" w:rsidRDefault="009920DD" w:rsidP="00BC3043">
      <w:pPr>
        <w:pStyle w:val="CUNYAPA7"/>
      </w:pPr>
      <w:r w:rsidRPr="00720140">
        <w:t xml:space="preserve">Story, M. F., Mueller, J. L., &amp; Mace, R. L. (1998). A </w:t>
      </w:r>
      <w:r w:rsidR="00BF3E4E" w:rsidRPr="00720140">
        <w:t>b</w:t>
      </w:r>
      <w:r w:rsidRPr="00720140">
        <w:t xml:space="preserve">rief </w:t>
      </w:r>
      <w:r w:rsidR="00BF3E4E" w:rsidRPr="00720140">
        <w:t>h</w:t>
      </w:r>
      <w:r w:rsidRPr="00720140">
        <w:t xml:space="preserve">istory of </w:t>
      </w:r>
      <w:r w:rsidR="00BF3E4E" w:rsidRPr="00720140">
        <w:t>u</w:t>
      </w:r>
      <w:r w:rsidRPr="00720140">
        <w:t xml:space="preserve">niversal Design. In </w:t>
      </w:r>
      <w:r w:rsidRPr="00720140">
        <w:rPr>
          <w:i/>
          <w:iCs/>
        </w:rPr>
        <w:t xml:space="preserve">The universal design file: Designing for people of all ages and abilities </w:t>
      </w:r>
      <w:r w:rsidRPr="00720140">
        <w:t>(Ch. 1, pp. 5–14).</w:t>
      </w:r>
      <w:r w:rsidRPr="00720140">
        <w:rPr>
          <w:i/>
          <w:iCs/>
        </w:rPr>
        <w:t xml:space="preserve"> </w:t>
      </w:r>
      <w:r w:rsidRPr="00720140">
        <w:t xml:space="preserve">The Center for Universal Design, N. C. State University. </w:t>
      </w:r>
      <w:hyperlink r:id="rId24" w:history="1">
        <w:r w:rsidRPr="00720140">
          <w:rPr>
            <w:rStyle w:val="Hyperlink"/>
          </w:rPr>
          <w:t>https://projects.ncsu.edu/ncsu/design/cud/pubs_p/pudfiletoc.htm</w:t>
        </w:r>
      </w:hyperlink>
    </w:p>
    <w:p w14:paraId="751F2FE6" w14:textId="15C40051" w:rsidR="00FB1151" w:rsidRPr="00720140" w:rsidRDefault="00FB1151" w:rsidP="00FB1151">
      <w:pPr>
        <w:pStyle w:val="CUNYAPA7"/>
      </w:pPr>
      <w:r w:rsidRPr="00720140">
        <w:t xml:space="preserve">Stjernfelt, F. (2014). </w:t>
      </w:r>
      <w:r w:rsidRPr="00720140">
        <w:rPr>
          <w:i/>
          <w:iCs/>
        </w:rPr>
        <w:t>Natural propositions: The actuality of Peirce’s doctrine of dicisigns</w:t>
      </w:r>
      <w:r w:rsidRPr="00720140">
        <w:t>. Docent Press.</w:t>
      </w:r>
    </w:p>
    <w:p w14:paraId="28144190" w14:textId="3199D222" w:rsidR="00E2381C" w:rsidRPr="00720140" w:rsidRDefault="0010739B" w:rsidP="0084259A">
      <w:pPr>
        <w:pStyle w:val="CUNYAPA7"/>
      </w:pPr>
      <w:r w:rsidRPr="00720140">
        <w:t xml:space="preserve">Strand, T. (2013). </w:t>
      </w:r>
      <w:r w:rsidR="00BE1867" w:rsidRPr="00720140">
        <w:t xml:space="preserve">Peirce’s rhetorical turn: Conceptualizing education as semiosis. </w:t>
      </w:r>
      <w:r w:rsidR="00BE1867" w:rsidRPr="00720140">
        <w:rPr>
          <w:i/>
          <w:iCs/>
        </w:rPr>
        <w:t>Educational Philosophy and Theory 45</w:t>
      </w:r>
      <w:r w:rsidR="00BE1867" w:rsidRPr="00720140">
        <w:t xml:space="preserve">(7), 789-803. </w:t>
      </w:r>
      <w:hyperlink r:id="rId25" w:history="1">
        <w:r w:rsidR="00624883" w:rsidRPr="00720140">
          <w:rPr>
            <w:color w:val="0000FF"/>
            <w:u w:val="single"/>
          </w:rPr>
          <w:t>https://doi.org/10.1111/j.1469-5812.2011.00837.x</w:t>
        </w:r>
      </w:hyperlink>
    </w:p>
    <w:p w14:paraId="5BCC5627" w14:textId="39C7A0EB" w:rsidR="00D26B0B" w:rsidRPr="00720140" w:rsidRDefault="00E2381C" w:rsidP="0084259A">
      <w:pPr>
        <w:pStyle w:val="CUNYAPA7"/>
      </w:pPr>
      <w:r w:rsidRPr="00720140">
        <w:t xml:space="preserve">Titchkosky, T. (2003/2006). </w:t>
      </w:r>
      <w:r w:rsidRPr="00720140">
        <w:rPr>
          <w:i/>
          <w:iCs/>
        </w:rPr>
        <w:t>Disability, self, and society</w:t>
      </w:r>
      <w:r w:rsidRPr="00720140">
        <w:t xml:space="preserve">. </w:t>
      </w:r>
      <w:r w:rsidR="00315989" w:rsidRPr="00720140">
        <w:t xml:space="preserve">University of Toronto Press </w:t>
      </w:r>
      <w:hyperlink r:id="rId26" w:tgtFrame="_blank" w:history="1">
        <w:r w:rsidR="00E26FFF" w:rsidRPr="00720140">
          <w:rPr>
            <w:color w:val="0000FF"/>
            <w:u w:val="single"/>
          </w:rPr>
          <w:t>https://doi.org/10.3138/9781442673939</w:t>
        </w:r>
      </w:hyperlink>
      <w:r w:rsidR="00E26FFF" w:rsidRPr="00720140">
        <w:t xml:space="preserve"> </w:t>
      </w:r>
    </w:p>
    <w:p w14:paraId="028EEEB0" w14:textId="403B97BC" w:rsidR="00B145F8" w:rsidRPr="00720140" w:rsidRDefault="00D26B0B" w:rsidP="0084259A">
      <w:pPr>
        <w:pStyle w:val="CUNYAPA7"/>
      </w:pPr>
      <w:r w:rsidRPr="00720140">
        <w:t xml:space="preserve">Titchkosky, T. (2011). </w:t>
      </w:r>
      <w:r w:rsidRPr="00720140">
        <w:rPr>
          <w:i/>
          <w:iCs/>
        </w:rPr>
        <w:t>The question of access: Disability, space, meaning</w:t>
      </w:r>
      <w:r w:rsidRPr="00720140">
        <w:t xml:space="preserve">. </w:t>
      </w:r>
      <w:r w:rsidR="00315989" w:rsidRPr="00720140">
        <w:t xml:space="preserve">University of </w:t>
      </w:r>
      <w:r w:rsidRPr="00720140">
        <w:t>Toronto</w:t>
      </w:r>
      <w:r w:rsidR="00315989" w:rsidRPr="00720140">
        <w:t xml:space="preserve"> Press.</w:t>
      </w:r>
    </w:p>
    <w:p w14:paraId="4938DE70" w14:textId="4849EC64" w:rsidR="00551BE4" w:rsidRPr="00720140" w:rsidRDefault="00551BE4" w:rsidP="0084259A">
      <w:pPr>
        <w:pStyle w:val="CUNYAPA7"/>
      </w:pPr>
      <w:r w:rsidRPr="00720140">
        <w:t xml:space="preserve">Webb, K. K., &amp; Hoover, J. (2015). Universal design for learning (UDL) in the academic library: A methodology for mapping multiple means of representation in library tutorials. </w:t>
      </w:r>
      <w:r w:rsidRPr="00720140">
        <w:rPr>
          <w:i/>
          <w:iCs/>
        </w:rPr>
        <w:t xml:space="preserve">College &amp; Research Libraries 76 </w:t>
      </w:r>
      <w:r w:rsidRPr="00720140">
        <w:t>(4), 537-553. DOI:10.5860/crl.76.4.537</w:t>
      </w:r>
    </w:p>
    <w:p w14:paraId="552BA0A5" w14:textId="77777777" w:rsidR="006F1770" w:rsidRDefault="006802F3" w:rsidP="006F1770">
      <w:pPr>
        <w:pStyle w:val="CUNYAPA7"/>
      </w:pPr>
      <w:r w:rsidRPr="00720140">
        <w:t xml:space="preserve">[W]. Peirce, C. S. (1982). </w:t>
      </w:r>
      <w:r w:rsidRPr="00720140">
        <w:rPr>
          <w:i/>
          <w:iCs/>
        </w:rPr>
        <w:t>Writings of Charles S. Peirce: A chronological edition, vol. 8: 1890–1892</w:t>
      </w:r>
      <w:r w:rsidRPr="00720140">
        <w:t>. (Peirce Edition Project, Ed.). Indiana University Pres</w:t>
      </w:r>
      <w:r w:rsidR="00F3070A" w:rsidRPr="00720140">
        <w:t>s.</w:t>
      </w:r>
    </w:p>
    <w:p w14:paraId="514A8839" w14:textId="77777777" w:rsidR="00F3070A" w:rsidRDefault="00F3070A" w:rsidP="00F3070A">
      <w:pPr>
        <w:pStyle w:val="CUNYAPA7"/>
        <w:ind w:left="0" w:firstLine="0"/>
      </w:pPr>
    </w:p>
    <w:p w14:paraId="590D33C4" w14:textId="5454B903" w:rsidR="00F3070A" w:rsidRDefault="00F3070A" w:rsidP="00F3070A">
      <w:pPr>
        <w:pStyle w:val="CUNYAPA7"/>
        <w:ind w:left="0" w:firstLine="0"/>
        <w:sectPr w:rsidR="00F3070A" w:rsidSect="009474BF">
          <w:headerReference w:type="even" r:id="rId27"/>
          <w:headerReference w:type="default" r:id="rId28"/>
          <w:pgSz w:w="12240" w:h="15840"/>
          <w:pgMar w:top="1440" w:right="1440" w:bottom="1440" w:left="1440" w:header="720" w:footer="720" w:gutter="0"/>
          <w:pgNumType w:start="1"/>
          <w:cols w:space="720"/>
          <w:docGrid w:linePitch="360"/>
        </w:sectPr>
      </w:pPr>
    </w:p>
    <w:p w14:paraId="6F0417AC" w14:textId="73E69A8B" w:rsidR="00B145F8" w:rsidRDefault="00B145F8" w:rsidP="00B145F8">
      <w:pPr>
        <w:pStyle w:val="CUNYAPA7"/>
        <w:ind w:left="0" w:firstLine="0"/>
      </w:pPr>
    </w:p>
    <w:sectPr w:rsidR="00B145F8" w:rsidSect="009474B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8B91" w14:textId="77777777" w:rsidR="003F6D32" w:rsidRDefault="003F6D32" w:rsidP="00C1275D">
      <w:r>
        <w:separator/>
      </w:r>
    </w:p>
  </w:endnote>
  <w:endnote w:type="continuationSeparator" w:id="0">
    <w:p w14:paraId="241B7D86" w14:textId="77777777" w:rsidR="003F6D32" w:rsidRDefault="003F6D32" w:rsidP="00C1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20B0604020202020204"/>
    <w:charset w:val="00"/>
    <w:family w:val="roman"/>
    <w:notTrueType/>
    <w:pitch w:val="default"/>
    <w:sig w:usb0="00000003" w:usb1="00000000" w:usb2="00000000" w:usb3="00000000" w:csb0="00000001" w:csb1="00000000"/>
  </w:font>
  <w:font w:name="Galliard-Roman">
    <w:altName w:val="Cambria"/>
    <w:panose1 w:val="020B0604020202020204"/>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BF22" w14:textId="77777777" w:rsidR="003F6D32" w:rsidRDefault="003F6D32" w:rsidP="00C1275D">
      <w:r>
        <w:separator/>
      </w:r>
    </w:p>
  </w:footnote>
  <w:footnote w:type="continuationSeparator" w:id="0">
    <w:p w14:paraId="07AE7756" w14:textId="77777777" w:rsidR="003F6D32" w:rsidRDefault="003F6D32" w:rsidP="00C1275D">
      <w:r>
        <w:continuationSeparator/>
      </w:r>
    </w:p>
  </w:footnote>
  <w:footnote w:id="1">
    <w:p w14:paraId="1F8AA74E" w14:textId="249024F3" w:rsidR="00020CC7" w:rsidRDefault="00020CC7" w:rsidP="00C97BD6">
      <w:pPr>
        <w:pStyle w:val="FootnoteText"/>
        <w:spacing w:line="240" w:lineRule="auto"/>
        <w:ind w:firstLine="0"/>
      </w:pPr>
      <w:r>
        <w:rPr>
          <w:rStyle w:val="FootnoteReference"/>
        </w:rPr>
        <w:footnoteRef/>
      </w:r>
      <w:r>
        <w:t xml:space="preserve"> This article’s title points to Charles Sanders Peirce’s 1906 essay “The Basis of Pragmaticism in Phaneroscopy.” In </w:t>
      </w:r>
      <w:r w:rsidRPr="008B3B39">
        <w:rPr>
          <w:i/>
          <w:iCs/>
        </w:rPr>
        <w:t>The Essential Peirce: Selected Philosophical Writings</w:t>
      </w:r>
      <w:r>
        <w:t xml:space="preserve"> (1893-1913).</w:t>
      </w:r>
    </w:p>
  </w:footnote>
  <w:footnote w:id="2">
    <w:p w14:paraId="42DA2874" w14:textId="478BB524" w:rsidR="00020CC7" w:rsidRDefault="00020CC7" w:rsidP="00C97BD6">
      <w:pPr>
        <w:pStyle w:val="FootnoteText"/>
        <w:spacing w:line="240" w:lineRule="auto"/>
        <w:ind w:firstLine="0"/>
      </w:pPr>
      <w:r>
        <w:rPr>
          <w:rStyle w:val="FootnoteReference"/>
        </w:rPr>
        <w:footnoteRef/>
      </w:r>
      <w:r>
        <w:t xml:space="preserve"> The metaphor of “tangled skeins” is one that Charles Sanders Peirce uses to figure phaneroscopy’s concern with “all that in any sense appears” and to “make the ultimate analysis of all experiences the first task to which philosophy has to apply itself” (</w:t>
      </w:r>
      <w:r w:rsidRPr="007F53EF">
        <w:t>CP 1.280</w:t>
      </w:r>
      <w:r>
        <w:t>, 1902).</w:t>
      </w:r>
    </w:p>
  </w:footnote>
  <w:footnote w:id="3">
    <w:p w14:paraId="0CFB5937" w14:textId="4B9AC465" w:rsidR="00020CC7" w:rsidRPr="00373F7F" w:rsidRDefault="00020CC7" w:rsidP="00706F1B">
      <w:pPr>
        <w:pStyle w:val="FootnoteText"/>
        <w:spacing w:line="240" w:lineRule="auto"/>
        <w:ind w:firstLine="0"/>
      </w:pPr>
      <w:r>
        <w:rPr>
          <w:rStyle w:val="FootnoteReference"/>
        </w:rPr>
        <w:footnoteRef/>
      </w:r>
      <w:r>
        <w:t xml:space="preserve"> I thank the two anonymous reviewers for their helpful comments and questions in response to an earlier version of this essay.</w:t>
      </w:r>
    </w:p>
  </w:footnote>
  <w:footnote w:id="4">
    <w:p w14:paraId="4E2288BD" w14:textId="46A9A301" w:rsidR="00020CC7" w:rsidRPr="00436473" w:rsidRDefault="00020CC7" w:rsidP="0044032F">
      <w:pPr>
        <w:pStyle w:val="FootnoteText"/>
        <w:spacing w:line="240" w:lineRule="auto"/>
        <w:ind w:firstLine="0"/>
      </w:pPr>
      <w:r>
        <w:rPr>
          <w:rStyle w:val="FootnoteReference"/>
        </w:rPr>
        <w:footnoteRef/>
      </w:r>
      <w:r>
        <w:t xml:space="preserve"> This article follows accepted practice for referring to the writings of Charles Sanders Peirce. In-text citations of the eight-volume (at the point of writing) “</w:t>
      </w:r>
      <w:r w:rsidRPr="00436473">
        <w:t>Writings of Charles S. Peirce</w:t>
      </w:r>
      <w:r>
        <w:t>” published by</w:t>
      </w:r>
      <w:r w:rsidRPr="00436473">
        <w:t xml:space="preserve"> Indiana University Press</w:t>
      </w:r>
      <w:r>
        <w:t xml:space="preserve"> use the standard abbreviation</w:t>
      </w:r>
      <w:r w:rsidRPr="00436473">
        <w:t xml:space="preserve"> </w:t>
      </w:r>
      <w:r>
        <w:t>“</w:t>
      </w:r>
      <w:r w:rsidRPr="00436473">
        <w:t>W</w:t>
      </w:r>
      <w:r>
        <w:t>”</w:t>
      </w:r>
      <w:r w:rsidRPr="00436473">
        <w:t xml:space="preserve"> followed by </w:t>
      </w:r>
      <w:r>
        <w:t xml:space="preserve">the </w:t>
      </w:r>
      <w:r w:rsidRPr="00436473">
        <w:t>volume number and page number</w:t>
      </w:r>
      <w:r>
        <w:t>. In-text citations of the eight-volume “Collected Papers of Charles Sanders Peirce” published by Harvard University Press use the standard abbreviation “CP” followed by the volume number, and paragraph number(s). In-text citations of the two-volume “The Essential Peirce” published by the Peirce Edition Project use the standard abbreviation “EP” followed by the volume and page number(s). In-text citations of unpublished manuscripts use the standard abbreviation “MS” followed by an identifying number. R. S. Robin (1967), “Annotated Catalogue of the Papers of Charles S. Peirce” published by University of Massachusetts Press,</w:t>
      </w:r>
      <w:r w:rsidDel="0044032F">
        <w:t xml:space="preserve"> </w:t>
      </w:r>
      <w:r>
        <w:t xml:space="preserve">I have followed the guide to referencing style in the works of Charles Sanders Peirce in J.R. Shook &amp; J. Margolis (2006), </w:t>
      </w:r>
      <w:r>
        <w:rPr>
          <w:i/>
          <w:iCs/>
        </w:rPr>
        <w:t xml:space="preserve">A companion to pragmatism, </w:t>
      </w:r>
      <w:r>
        <w:t>p. xi. For citing unpublished manuscripts, Shook &amp; Margolis (2006) also follow R.S. Robin (1967).</w:t>
      </w:r>
    </w:p>
  </w:footnote>
  <w:footnote w:id="5">
    <w:p w14:paraId="4FACFEEF" w14:textId="6763F494" w:rsidR="00020CC7" w:rsidRDefault="00020CC7" w:rsidP="006D149A">
      <w:pPr>
        <w:pStyle w:val="FootnoteText"/>
        <w:spacing w:line="240" w:lineRule="auto"/>
        <w:ind w:firstLine="0"/>
      </w:pPr>
      <w:r>
        <w:rPr>
          <w:rStyle w:val="FootnoteReference"/>
        </w:rPr>
        <w:footnoteRef/>
      </w:r>
      <w:r>
        <w:t xml:space="preserve"> </w:t>
      </w:r>
      <w:r w:rsidRPr="003C4FF7">
        <w:t>Thomas Aastrup Rømer</w:t>
      </w:r>
      <w:r>
        <w:t xml:space="preserve"> (2019) deploys the phrase “atomized bits” in a different context, although there is a shared concern with the deleterious effects of reducing an education </w:t>
      </w:r>
      <w:r w:rsidRPr="006D149A">
        <w:rPr>
          <w:i/>
          <w:iCs/>
        </w:rPr>
        <w:t>process</w:t>
      </w:r>
      <w:r>
        <w:t xml:space="preserve"> (a word I use advisedly) to the measurable and observable (p. 590).</w:t>
      </w:r>
    </w:p>
  </w:footnote>
  <w:footnote w:id="6">
    <w:p w14:paraId="3E185B01" w14:textId="43BB8CBA" w:rsidR="00020CC7" w:rsidRPr="00CA5887" w:rsidRDefault="00020CC7" w:rsidP="00706F1B">
      <w:pPr>
        <w:pStyle w:val="FootnoteText"/>
        <w:spacing w:line="240" w:lineRule="auto"/>
        <w:ind w:firstLine="0"/>
      </w:pPr>
      <w:r>
        <w:rPr>
          <w:rStyle w:val="FootnoteReference"/>
        </w:rPr>
        <w:footnoteRef/>
      </w:r>
      <w:r>
        <w:t xml:space="preserve"> See Margolis (2007) for a discussion of the challenges involved in connecting Peirce’s phenomenology and fallibilism.</w:t>
      </w:r>
    </w:p>
  </w:footnote>
  <w:footnote w:id="7">
    <w:p w14:paraId="573EFC23" w14:textId="1E593A1F" w:rsidR="00020CC7" w:rsidRDefault="00020CC7" w:rsidP="005A2EE1">
      <w:pPr>
        <w:pStyle w:val="FootnoteText"/>
        <w:spacing w:line="240" w:lineRule="auto"/>
        <w:ind w:firstLine="0"/>
      </w:pPr>
      <w:r>
        <w:rPr>
          <w:rStyle w:val="FootnoteReference"/>
        </w:rPr>
        <w:footnoteRef/>
      </w:r>
      <w:r>
        <w:t xml:space="preserve"> The appearance of the motto “Do not block the way of inquiry” in Peirce’s writings has a complex, and not entirely clear genesis, as explained by Susan Haack (2014).</w:t>
      </w:r>
    </w:p>
  </w:footnote>
  <w:footnote w:id="8">
    <w:p w14:paraId="2DB7692A" w14:textId="5535FEDA" w:rsidR="00020CC7" w:rsidRPr="004A61B4" w:rsidRDefault="00020CC7" w:rsidP="008F4E02">
      <w:pPr>
        <w:pStyle w:val="FootnoteText"/>
        <w:spacing w:line="240" w:lineRule="auto"/>
      </w:pPr>
      <w:r>
        <w:rPr>
          <w:rStyle w:val="FootnoteReference"/>
        </w:rPr>
        <w:footnoteRef/>
      </w:r>
      <w:r>
        <w:t xml:space="preserve"> Here I gesture toward Charles Sanders Peirce’ essay “How to Make Our Ideas Clear” (Buchler, pp. 28-29). It is worth quoting Peirce at length: “</w:t>
      </w:r>
      <w:r w:rsidRPr="00932AC8">
        <w:t>And what, then, is belief? It is the demi-cadence which closes a</w:t>
      </w:r>
      <w:r>
        <w:t xml:space="preserve"> </w:t>
      </w:r>
      <w:r w:rsidRPr="00932AC8">
        <w:t>musical phrase in the symphony of our intellectual life. We have</w:t>
      </w:r>
      <w:r>
        <w:t xml:space="preserve"> </w:t>
      </w:r>
      <w:r w:rsidRPr="00932AC8">
        <w:t>seen that it has just three properties: First, it is something that we</w:t>
      </w:r>
      <w:r>
        <w:t xml:space="preserve"> </w:t>
      </w:r>
      <w:r w:rsidRPr="00932AC8">
        <w:t>are aware of; second, it appeases the irritation of doubt; and, third,</w:t>
      </w:r>
      <w:r>
        <w:t xml:space="preserve"> </w:t>
      </w:r>
      <w:r w:rsidRPr="00932AC8">
        <w:t>it involves the establishment in our nature of a rule of action, or,</w:t>
      </w:r>
      <w:r>
        <w:t xml:space="preserve"> </w:t>
      </w:r>
      <w:r w:rsidRPr="00932AC8">
        <w:t>say for short, a habit. As it appeases the irritation of doubt, which</w:t>
      </w:r>
      <w:r>
        <w:t xml:space="preserve"> </w:t>
      </w:r>
      <w:r w:rsidRPr="00932AC8">
        <w:t>is the motive for thinking, thought relaxes, and comes to rest for</w:t>
      </w:r>
      <w:r>
        <w:t xml:space="preserve"> </w:t>
      </w:r>
      <w:r w:rsidRPr="00932AC8">
        <w:t>a moment when belief is reached. But, since belief is a rule for</w:t>
      </w:r>
      <w:r>
        <w:t xml:space="preserve"> </w:t>
      </w:r>
      <w:r w:rsidRPr="00932AC8">
        <w:t xml:space="preserve">action, the application of which involves further doubt and </w:t>
      </w:r>
      <w:r>
        <w:t xml:space="preserve">further </w:t>
      </w:r>
      <w:r w:rsidRPr="00706C23">
        <w:t>thought, at the same time that it is a stopping-place, it is also a new</w:t>
      </w:r>
      <w:r>
        <w:t xml:space="preserve"> </w:t>
      </w:r>
      <w:r w:rsidRPr="00706C23">
        <w:t>starting-place for thought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4117402"/>
      <w:docPartObj>
        <w:docPartGallery w:val="Page Numbers (Top of Page)"/>
        <w:docPartUnique/>
      </w:docPartObj>
    </w:sdtPr>
    <w:sdtEndPr>
      <w:rPr>
        <w:rStyle w:val="PageNumber"/>
      </w:rPr>
    </w:sdtEndPr>
    <w:sdtContent>
      <w:p w14:paraId="57C6B413" w14:textId="2EF69FC6" w:rsidR="00020CC7" w:rsidRDefault="00020CC7" w:rsidP="00FB30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92D96" w14:textId="77777777" w:rsidR="00020CC7" w:rsidRDefault="00020CC7" w:rsidP="00F063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7789593"/>
      <w:docPartObj>
        <w:docPartGallery w:val="Page Numbers (Top of Page)"/>
        <w:docPartUnique/>
      </w:docPartObj>
    </w:sdtPr>
    <w:sdtEndPr>
      <w:rPr>
        <w:rStyle w:val="PageNumber"/>
      </w:rPr>
    </w:sdtEndPr>
    <w:sdtContent>
      <w:p w14:paraId="4E94C82A" w14:textId="2495DBFD" w:rsidR="00020CC7" w:rsidRDefault="00020CC7" w:rsidP="00FB30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D45B37" w14:textId="58F3EE34" w:rsidR="00020CC7" w:rsidRDefault="00020CC7" w:rsidP="006D149A">
    <w:pPr>
      <w:pStyle w:val="Header"/>
      <w:spacing w:line="240" w:lineRule="auto"/>
      <w:ind w:right="360" w:firstLine="0"/>
      <w:rPr>
        <w:b/>
        <w:bCs/>
      </w:rPr>
    </w:pPr>
    <w:r>
      <w:rPr>
        <w:b/>
        <w:bCs/>
      </w:rPr>
      <w:t>Running head: UNIVERSAL DESIGN FOR LEARNING: A BASIS IN PHANEROSCOPY?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727A"/>
    <w:multiLevelType w:val="hybridMultilevel"/>
    <w:tmpl w:val="0CFA53E0"/>
    <w:lvl w:ilvl="0" w:tplc="715409F2">
      <w:start w:val="20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387"/>
    <w:multiLevelType w:val="hybridMultilevel"/>
    <w:tmpl w:val="F0F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121B0"/>
    <w:multiLevelType w:val="hybridMultilevel"/>
    <w:tmpl w:val="2764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4300B"/>
    <w:multiLevelType w:val="hybridMultilevel"/>
    <w:tmpl w:val="7C64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674A2"/>
    <w:multiLevelType w:val="hybridMultilevel"/>
    <w:tmpl w:val="1570BBF8"/>
    <w:lvl w:ilvl="0" w:tplc="20105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5379A"/>
    <w:multiLevelType w:val="hybridMultilevel"/>
    <w:tmpl w:val="7D90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FC64BD"/>
    <w:multiLevelType w:val="hybridMultilevel"/>
    <w:tmpl w:val="133C20F0"/>
    <w:lvl w:ilvl="0" w:tplc="0486E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81"/>
    <w:rsid w:val="00002952"/>
    <w:rsid w:val="0000359B"/>
    <w:rsid w:val="00005A59"/>
    <w:rsid w:val="0001097E"/>
    <w:rsid w:val="000114A4"/>
    <w:rsid w:val="00011CB5"/>
    <w:rsid w:val="00012AA1"/>
    <w:rsid w:val="00015FF6"/>
    <w:rsid w:val="0001740F"/>
    <w:rsid w:val="00020CC7"/>
    <w:rsid w:val="000230D8"/>
    <w:rsid w:val="000244CD"/>
    <w:rsid w:val="00025008"/>
    <w:rsid w:val="00025786"/>
    <w:rsid w:val="000262BA"/>
    <w:rsid w:val="000304F6"/>
    <w:rsid w:val="00030FF2"/>
    <w:rsid w:val="00031086"/>
    <w:rsid w:val="000315A5"/>
    <w:rsid w:val="00032350"/>
    <w:rsid w:val="00034A0B"/>
    <w:rsid w:val="000369A3"/>
    <w:rsid w:val="00036A62"/>
    <w:rsid w:val="0004173D"/>
    <w:rsid w:val="00042087"/>
    <w:rsid w:val="000447BC"/>
    <w:rsid w:val="0004752F"/>
    <w:rsid w:val="00052D1F"/>
    <w:rsid w:val="00053157"/>
    <w:rsid w:val="000539B8"/>
    <w:rsid w:val="000554AB"/>
    <w:rsid w:val="0005653A"/>
    <w:rsid w:val="00056D3B"/>
    <w:rsid w:val="00060326"/>
    <w:rsid w:val="00062156"/>
    <w:rsid w:val="00062DBF"/>
    <w:rsid w:val="00065336"/>
    <w:rsid w:val="000655E3"/>
    <w:rsid w:val="0006780D"/>
    <w:rsid w:val="00070619"/>
    <w:rsid w:val="00077A43"/>
    <w:rsid w:val="00083E5F"/>
    <w:rsid w:val="00084567"/>
    <w:rsid w:val="000915A1"/>
    <w:rsid w:val="00093F67"/>
    <w:rsid w:val="000A0A27"/>
    <w:rsid w:val="000B0C29"/>
    <w:rsid w:val="000B37C4"/>
    <w:rsid w:val="000B72CF"/>
    <w:rsid w:val="000C1B7F"/>
    <w:rsid w:val="000C324A"/>
    <w:rsid w:val="000C42BE"/>
    <w:rsid w:val="000C4F2A"/>
    <w:rsid w:val="000D0A8C"/>
    <w:rsid w:val="000D1149"/>
    <w:rsid w:val="000D3733"/>
    <w:rsid w:val="000D37D2"/>
    <w:rsid w:val="000D4DD3"/>
    <w:rsid w:val="000D4DF3"/>
    <w:rsid w:val="000D6C12"/>
    <w:rsid w:val="000E1771"/>
    <w:rsid w:val="000E22A5"/>
    <w:rsid w:val="000E3D9C"/>
    <w:rsid w:val="000F14A2"/>
    <w:rsid w:val="000F3F7A"/>
    <w:rsid w:val="000F40E8"/>
    <w:rsid w:val="000F425C"/>
    <w:rsid w:val="000F42D4"/>
    <w:rsid w:val="000F79B9"/>
    <w:rsid w:val="001020E7"/>
    <w:rsid w:val="00107172"/>
    <w:rsid w:val="0010739B"/>
    <w:rsid w:val="001074E0"/>
    <w:rsid w:val="00110A43"/>
    <w:rsid w:val="00112207"/>
    <w:rsid w:val="00113652"/>
    <w:rsid w:val="00120D2C"/>
    <w:rsid w:val="00123D33"/>
    <w:rsid w:val="00125ADB"/>
    <w:rsid w:val="00125FD0"/>
    <w:rsid w:val="00131A8B"/>
    <w:rsid w:val="00133CFF"/>
    <w:rsid w:val="00134FC5"/>
    <w:rsid w:val="001379EA"/>
    <w:rsid w:val="00142341"/>
    <w:rsid w:val="00144310"/>
    <w:rsid w:val="001448B3"/>
    <w:rsid w:val="00145BB3"/>
    <w:rsid w:val="0014796B"/>
    <w:rsid w:val="00147D7D"/>
    <w:rsid w:val="0015025B"/>
    <w:rsid w:val="001556E4"/>
    <w:rsid w:val="001563DA"/>
    <w:rsid w:val="001565C0"/>
    <w:rsid w:val="001575B0"/>
    <w:rsid w:val="00157A04"/>
    <w:rsid w:val="00157ABB"/>
    <w:rsid w:val="00157B40"/>
    <w:rsid w:val="0016083B"/>
    <w:rsid w:val="00160B2E"/>
    <w:rsid w:val="00162AF6"/>
    <w:rsid w:val="001650B3"/>
    <w:rsid w:val="00165343"/>
    <w:rsid w:val="00170471"/>
    <w:rsid w:val="0017289B"/>
    <w:rsid w:val="00172CE3"/>
    <w:rsid w:val="00173834"/>
    <w:rsid w:val="00174111"/>
    <w:rsid w:val="001771C6"/>
    <w:rsid w:val="0018128C"/>
    <w:rsid w:val="00184AF2"/>
    <w:rsid w:val="001864BD"/>
    <w:rsid w:val="00186FEF"/>
    <w:rsid w:val="0019150D"/>
    <w:rsid w:val="00191719"/>
    <w:rsid w:val="00194E9C"/>
    <w:rsid w:val="00194F06"/>
    <w:rsid w:val="001960B5"/>
    <w:rsid w:val="00196942"/>
    <w:rsid w:val="00196BD7"/>
    <w:rsid w:val="001979B0"/>
    <w:rsid w:val="001A011A"/>
    <w:rsid w:val="001A2D0C"/>
    <w:rsid w:val="001A5FA3"/>
    <w:rsid w:val="001B314B"/>
    <w:rsid w:val="001B54B2"/>
    <w:rsid w:val="001C3076"/>
    <w:rsid w:val="001D02B1"/>
    <w:rsid w:val="001D1475"/>
    <w:rsid w:val="001D2D9A"/>
    <w:rsid w:val="001D4177"/>
    <w:rsid w:val="001D61A0"/>
    <w:rsid w:val="001D7B8D"/>
    <w:rsid w:val="001E0C78"/>
    <w:rsid w:val="001E2366"/>
    <w:rsid w:val="001E2999"/>
    <w:rsid w:val="001E2F4B"/>
    <w:rsid w:val="001E35CD"/>
    <w:rsid w:val="001E3CFB"/>
    <w:rsid w:val="001E3D5F"/>
    <w:rsid w:val="001E6400"/>
    <w:rsid w:val="001E68A5"/>
    <w:rsid w:val="001E7806"/>
    <w:rsid w:val="001F0118"/>
    <w:rsid w:val="001F1176"/>
    <w:rsid w:val="001F436B"/>
    <w:rsid w:val="001F4FF0"/>
    <w:rsid w:val="00203870"/>
    <w:rsid w:val="0020498A"/>
    <w:rsid w:val="00212936"/>
    <w:rsid w:val="00216372"/>
    <w:rsid w:val="002202C9"/>
    <w:rsid w:val="002259FE"/>
    <w:rsid w:val="00226288"/>
    <w:rsid w:val="00226B21"/>
    <w:rsid w:val="0023274F"/>
    <w:rsid w:val="00233077"/>
    <w:rsid w:val="0023482D"/>
    <w:rsid w:val="002352D0"/>
    <w:rsid w:val="00240AFB"/>
    <w:rsid w:val="00241218"/>
    <w:rsid w:val="00241B4B"/>
    <w:rsid w:val="00241C50"/>
    <w:rsid w:val="00242937"/>
    <w:rsid w:val="00242963"/>
    <w:rsid w:val="002449C7"/>
    <w:rsid w:val="00244DB2"/>
    <w:rsid w:val="00246E61"/>
    <w:rsid w:val="00246F1A"/>
    <w:rsid w:val="00247F5A"/>
    <w:rsid w:val="0025006B"/>
    <w:rsid w:val="0025375B"/>
    <w:rsid w:val="00255EC5"/>
    <w:rsid w:val="0025604C"/>
    <w:rsid w:val="00257DB8"/>
    <w:rsid w:val="00260317"/>
    <w:rsid w:val="00260E1A"/>
    <w:rsid w:val="00267834"/>
    <w:rsid w:val="00270E0B"/>
    <w:rsid w:val="00273250"/>
    <w:rsid w:val="002738C0"/>
    <w:rsid w:val="002750C6"/>
    <w:rsid w:val="00275DD4"/>
    <w:rsid w:val="002768C1"/>
    <w:rsid w:val="00277988"/>
    <w:rsid w:val="00286027"/>
    <w:rsid w:val="00287528"/>
    <w:rsid w:val="00291193"/>
    <w:rsid w:val="00292D63"/>
    <w:rsid w:val="00294190"/>
    <w:rsid w:val="002A0A54"/>
    <w:rsid w:val="002A0DAD"/>
    <w:rsid w:val="002A15D7"/>
    <w:rsid w:val="002A1F71"/>
    <w:rsid w:val="002A2641"/>
    <w:rsid w:val="002A2CAB"/>
    <w:rsid w:val="002A49F8"/>
    <w:rsid w:val="002A5A0F"/>
    <w:rsid w:val="002B4E77"/>
    <w:rsid w:val="002B6FAF"/>
    <w:rsid w:val="002C4B93"/>
    <w:rsid w:val="002C702B"/>
    <w:rsid w:val="002C7797"/>
    <w:rsid w:val="002D3780"/>
    <w:rsid w:val="002D5D1E"/>
    <w:rsid w:val="002E000C"/>
    <w:rsid w:val="002E066C"/>
    <w:rsid w:val="002E22AD"/>
    <w:rsid w:val="002E2860"/>
    <w:rsid w:val="002E2B57"/>
    <w:rsid w:val="002E3AF4"/>
    <w:rsid w:val="002E4255"/>
    <w:rsid w:val="002E48BE"/>
    <w:rsid w:val="002E6787"/>
    <w:rsid w:val="002E683D"/>
    <w:rsid w:val="002E6AA1"/>
    <w:rsid w:val="002E7557"/>
    <w:rsid w:val="002E7E98"/>
    <w:rsid w:val="002F00DC"/>
    <w:rsid w:val="002F1FAE"/>
    <w:rsid w:val="002F2E5F"/>
    <w:rsid w:val="002F4011"/>
    <w:rsid w:val="002F4EA8"/>
    <w:rsid w:val="002F5821"/>
    <w:rsid w:val="002F6C1F"/>
    <w:rsid w:val="002F6E5F"/>
    <w:rsid w:val="002F7741"/>
    <w:rsid w:val="00300186"/>
    <w:rsid w:val="00300B30"/>
    <w:rsid w:val="00301921"/>
    <w:rsid w:val="00305F5B"/>
    <w:rsid w:val="00310B9B"/>
    <w:rsid w:val="003114E1"/>
    <w:rsid w:val="00311BEC"/>
    <w:rsid w:val="003141C3"/>
    <w:rsid w:val="0031513D"/>
    <w:rsid w:val="00315989"/>
    <w:rsid w:val="00315ECA"/>
    <w:rsid w:val="00316AE6"/>
    <w:rsid w:val="00321036"/>
    <w:rsid w:val="00321683"/>
    <w:rsid w:val="003218DF"/>
    <w:rsid w:val="003223A0"/>
    <w:rsid w:val="00322788"/>
    <w:rsid w:val="003240CD"/>
    <w:rsid w:val="0032513E"/>
    <w:rsid w:val="00334F7E"/>
    <w:rsid w:val="00340740"/>
    <w:rsid w:val="003408E4"/>
    <w:rsid w:val="00341954"/>
    <w:rsid w:val="003420D9"/>
    <w:rsid w:val="00347886"/>
    <w:rsid w:val="00352751"/>
    <w:rsid w:val="00353C15"/>
    <w:rsid w:val="0035727F"/>
    <w:rsid w:val="00360BE2"/>
    <w:rsid w:val="003640C1"/>
    <w:rsid w:val="00365785"/>
    <w:rsid w:val="00365A50"/>
    <w:rsid w:val="0037367A"/>
    <w:rsid w:val="00373F7F"/>
    <w:rsid w:val="0037448D"/>
    <w:rsid w:val="00382158"/>
    <w:rsid w:val="003829BE"/>
    <w:rsid w:val="003853CC"/>
    <w:rsid w:val="00390249"/>
    <w:rsid w:val="00390330"/>
    <w:rsid w:val="003944EB"/>
    <w:rsid w:val="00395FB5"/>
    <w:rsid w:val="0039695B"/>
    <w:rsid w:val="00396FB0"/>
    <w:rsid w:val="003A0CDA"/>
    <w:rsid w:val="003A15F0"/>
    <w:rsid w:val="003A441E"/>
    <w:rsid w:val="003A5B88"/>
    <w:rsid w:val="003A658E"/>
    <w:rsid w:val="003B6C46"/>
    <w:rsid w:val="003C0347"/>
    <w:rsid w:val="003C2069"/>
    <w:rsid w:val="003C22D1"/>
    <w:rsid w:val="003C2A3E"/>
    <w:rsid w:val="003C3700"/>
    <w:rsid w:val="003C4FF7"/>
    <w:rsid w:val="003D11C9"/>
    <w:rsid w:val="003D2347"/>
    <w:rsid w:val="003D6535"/>
    <w:rsid w:val="003E2C3F"/>
    <w:rsid w:val="003E2FF5"/>
    <w:rsid w:val="003E4147"/>
    <w:rsid w:val="003E6840"/>
    <w:rsid w:val="003E7EE4"/>
    <w:rsid w:val="003F17A2"/>
    <w:rsid w:val="003F3AFA"/>
    <w:rsid w:val="003F3FDD"/>
    <w:rsid w:val="003F6202"/>
    <w:rsid w:val="003F6D32"/>
    <w:rsid w:val="003F79CE"/>
    <w:rsid w:val="0040002E"/>
    <w:rsid w:val="00400BD5"/>
    <w:rsid w:val="00400DEE"/>
    <w:rsid w:val="004013C2"/>
    <w:rsid w:val="0040202B"/>
    <w:rsid w:val="004024B5"/>
    <w:rsid w:val="0040361C"/>
    <w:rsid w:val="00403D8F"/>
    <w:rsid w:val="00406B2D"/>
    <w:rsid w:val="00416706"/>
    <w:rsid w:val="00421140"/>
    <w:rsid w:val="00421716"/>
    <w:rsid w:val="0042205B"/>
    <w:rsid w:val="004243B4"/>
    <w:rsid w:val="00425395"/>
    <w:rsid w:val="00425557"/>
    <w:rsid w:val="00426107"/>
    <w:rsid w:val="004275BD"/>
    <w:rsid w:val="00427BA1"/>
    <w:rsid w:val="00431AD9"/>
    <w:rsid w:val="00432431"/>
    <w:rsid w:val="0043346E"/>
    <w:rsid w:val="0043488F"/>
    <w:rsid w:val="00434A18"/>
    <w:rsid w:val="00434A5D"/>
    <w:rsid w:val="00435B85"/>
    <w:rsid w:val="00436473"/>
    <w:rsid w:val="00436828"/>
    <w:rsid w:val="0044032F"/>
    <w:rsid w:val="00444988"/>
    <w:rsid w:val="004455A7"/>
    <w:rsid w:val="0044609E"/>
    <w:rsid w:val="0044619B"/>
    <w:rsid w:val="004471E7"/>
    <w:rsid w:val="004475A5"/>
    <w:rsid w:val="00450B92"/>
    <w:rsid w:val="00450D74"/>
    <w:rsid w:val="0045345E"/>
    <w:rsid w:val="00453B08"/>
    <w:rsid w:val="004568CF"/>
    <w:rsid w:val="00457048"/>
    <w:rsid w:val="00461B8B"/>
    <w:rsid w:val="00463E25"/>
    <w:rsid w:val="0046647E"/>
    <w:rsid w:val="004679A5"/>
    <w:rsid w:val="00467D0F"/>
    <w:rsid w:val="004749B5"/>
    <w:rsid w:val="00475B76"/>
    <w:rsid w:val="00480244"/>
    <w:rsid w:val="004816ED"/>
    <w:rsid w:val="004861F9"/>
    <w:rsid w:val="0048683B"/>
    <w:rsid w:val="004868DE"/>
    <w:rsid w:val="00494904"/>
    <w:rsid w:val="00496F06"/>
    <w:rsid w:val="004A0CE7"/>
    <w:rsid w:val="004A379D"/>
    <w:rsid w:val="004A61B4"/>
    <w:rsid w:val="004A791F"/>
    <w:rsid w:val="004B277A"/>
    <w:rsid w:val="004B536F"/>
    <w:rsid w:val="004C3F37"/>
    <w:rsid w:val="004C4DF6"/>
    <w:rsid w:val="004C6315"/>
    <w:rsid w:val="004C6B19"/>
    <w:rsid w:val="004D4AA5"/>
    <w:rsid w:val="004D52F3"/>
    <w:rsid w:val="004E361B"/>
    <w:rsid w:val="004E391D"/>
    <w:rsid w:val="004E3CDD"/>
    <w:rsid w:val="004F0081"/>
    <w:rsid w:val="004F01A2"/>
    <w:rsid w:val="004F3537"/>
    <w:rsid w:val="004F7869"/>
    <w:rsid w:val="00500272"/>
    <w:rsid w:val="005010BE"/>
    <w:rsid w:val="00502DEB"/>
    <w:rsid w:val="005072F0"/>
    <w:rsid w:val="00512048"/>
    <w:rsid w:val="005125DB"/>
    <w:rsid w:val="00514405"/>
    <w:rsid w:val="00514A19"/>
    <w:rsid w:val="00514C19"/>
    <w:rsid w:val="005211F8"/>
    <w:rsid w:val="00521771"/>
    <w:rsid w:val="00522EB0"/>
    <w:rsid w:val="00524326"/>
    <w:rsid w:val="005251CA"/>
    <w:rsid w:val="00525BFE"/>
    <w:rsid w:val="00525C33"/>
    <w:rsid w:val="00531168"/>
    <w:rsid w:val="0053323D"/>
    <w:rsid w:val="00534A6E"/>
    <w:rsid w:val="005360F4"/>
    <w:rsid w:val="00536BEF"/>
    <w:rsid w:val="005422BE"/>
    <w:rsid w:val="00542AD9"/>
    <w:rsid w:val="0054371E"/>
    <w:rsid w:val="0054457E"/>
    <w:rsid w:val="00545CCA"/>
    <w:rsid w:val="00550AE6"/>
    <w:rsid w:val="00551BE4"/>
    <w:rsid w:val="00552358"/>
    <w:rsid w:val="0055374B"/>
    <w:rsid w:val="00554136"/>
    <w:rsid w:val="00554A6A"/>
    <w:rsid w:val="00554B39"/>
    <w:rsid w:val="005551AF"/>
    <w:rsid w:val="0056098B"/>
    <w:rsid w:val="00561B3D"/>
    <w:rsid w:val="00565A3F"/>
    <w:rsid w:val="00572AC8"/>
    <w:rsid w:val="0057692B"/>
    <w:rsid w:val="00581DDE"/>
    <w:rsid w:val="00590DCB"/>
    <w:rsid w:val="005919D3"/>
    <w:rsid w:val="00591A0B"/>
    <w:rsid w:val="00591B3F"/>
    <w:rsid w:val="00594125"/>
    <w:rsid w:val="00595DE6"/>
    <w:rsid w:val="005973A8"/>
    <w:rsid w:val="0059777D"/>
    <w:rsid w:val="00597C52"/>
    <w:rsid w:val="005A1576"/>
    <w:rsid w:val="005A2EE1"/>
    <w:rsid w:val="005A338B"/>
    <w:rsid w:val="005A3CAA"/>
    <w:rsid w:val="005B235F"/>
    <w:rsid w:val="005B2496"/>
    <w:rsid w:val="005B3B77"/>
    <w:rsid w:val="005B3CC8"/>
    <w:rsid w:val="005B5C3A"/>
    <w:rsid w:val="005B6BCF"/>
    <w:rsid w:val="005C640C"/>
    <w:rsid w:val="005D0295"/>
    <w:rsid w:val="005D1EFF"/>
    <w:rsid w:val="005D24CB"/>
    <w:rsid w:val="005D672E"/>
    <w:rsid w:val="005D674E"/>
    <w:rsid w:val="005D6A5D"/>
    <w:rsid w:val="005E08F1"/>
    <w:rsid w:val="005E13FD"/>
    <w:rsid w:val="005E227F"/>
    <w:rsid w:val="005E5A31"/>
    <w:rsid w:val="005F3094"/>
    <w:rsid w:val="005F3237"/>
    <w:rsid w:val="005F3C56"/>
    <w:rsid w:val="005F401C"/>
    <w:rsid w:val="005F67C1"/>
    <w:rsid w:val="006001B4"/>
    <w:rsid w:val="00603322"/>
    <w:rsid w:val="00603C1B"/>
    <w:rsid w:val="0060465D"/>
    <w:rsid w:val="00607566"/>
    <w:rsid w:val="00610BD0"/>
    <w:rsid w:val="0061324E"/>
    <w:rsid w:val="006149FC"/>
    <w:rsid w:val="00616FE2"/>
    <w:rsid w:val="00617F68"/>
    <w:rsid w:val="00620322"/>
    <w:rsid w:val="0062220B"/>
    <w:rsid w:val="00624883"/>
    <w:rsid w:val="00624C53"/>
    <w:rsid w:val="00624E1D"/>
    <w:rsid w:val="00625627"/>
    <w:rsid w:val="006279B5"/>
    <w:rsid w:val="00630552"/>
    <w:rsid w:val="006345A0"/>
    <w:rsid w:val="006362C1"/>
    <w:rsid w:val="006421F7"/>
    <w:rsid w:val="00643BF8"/>
    <w:rsid w:val="00651196"/>
    <w:rsid w:val="00652846"/>
    <w:rsid w:val="00652E5D"/>
    <w:rsid w:val="00653331"/>
    <w:rsid w:val="00654416"/>
    <w:rsid w:val="00654514"/>
    <w:rsid w:val="006545D6"/>
    <w:rsid w:val="00657C1F"/>
    <w:rsid w:val="0066032E"/>
    <w:rsid w:val="00661950"/>
    <w:rsid w:val="00665021"/>
    <w:rsid w:val="0066557C"/>
    <w:rsid w:val="00665F84"/>
    <w:rsid w:val="0066609C"/>
    <w:rsid w:val="006705B4"/>
    <w:rsid w:val="00673F21"/>
    <w:rsid w:val="006802F3"/>
    <w:rsid w:val="006802F7"/>
    <w:rsid w:val="0068184D"/>
    <w:rsid w:val="0068723C"/>
    <w:rsid w:val="00687ABD"/>
    <w:rsid w:val="00687DA1"/>
    <w:rsid w:val="00691312"/>
    <w:rsid w:val="006928FC"/>
    <w:rsid w:val="00695F7F"/>
    <w:rsid w:val="00696317"/>
    <w:rsid w:val="0069681B"/>
    <w:rsid w:val="006A102D"/>
    <w:rsid w:val="006A114B"/>
    <w:rsid w:val="006A2FEA"/>
    <w:rsid w:val="006A4FFC"/>
    <w:rsid w:val="006A7CBE"/>
    <w:rsid w:val="006B046E"/>
    <w:rsid w:val="006B20C5"/>
    <w:rsid w:val="006B4903"/>
    <w:rsid w:val="006B55E7"/>
    <w:rsid w:val="006B5B1C"/>
    <w:rsid w:val="006B7E10"/>
    <w:rsid w:val="006C3486"/>
    <w:rsid w:val="006C5471"/>
    <w:rsid w:val="006C7B52"/>
    <w:rsid w:val="006D149A"/>
    <w:rsid w:val="006D2901"/>
    <w:rsid w:val="006D6739"/>
    <w:rsid w:val="006D79A6"/>
    <w:rsid w:val="006E64B8"/>
    <w:rsid w:val="006E78D7"/>
    <w:rsid w:val="006F01E4"/>
    <w:rsid w:val="006F07CF"/>
    <w:rsid w:val="006F1770"/>
    <w:rsid w:val="006F1DD3"/>
    <w:rsid w:val="006F424A"/>
    <w:rsid w:val="006F4A44"/>
    <w:rsid w:val="006F7905"/>
    <w:rsid w:val="00701D51"/>
    <w:rsid w:val="00701EC5"/>
    <w:rsid w:val="007021F5"/>
    <w:rsid w:val="007032D4"/>
    <w:rsid w:val="00704625"/>
    <w:rsid w:val="007067C0"/>
    <w:rsid w:val="00706A98"/>
    <w:rsid w:val="00706C23"/>
    <w:rsid w:val="00706CF1"/>
    <w:rsid w:val="00706D96"/>
    <w:rsid w:val="00706F1B"/>
    <w:rsid w:val="00707513"/>
    <w:rsid w:val="00710718"/>
    <w:rsid w:val="007116B4"/>
    <w:rsid w:val="00713038"/>
    <w:rsid w:val="00720140"/>
    <w:rsid w:val="0072395A"/>
    <w:rsid w:val="007302EF"/>
    <w:rsid w:val="007303CA"/>
    <w:rsid w:val="00731738"/>
    <w:rsid w:val="007318DC"/>
    <w:rsid w:val="00731D80"/>
    <w:rsid w:val="00733F5F"/>
    <w:rsid w:val="00736E67"/>
    <w:rsid w:val="007370DB"/>
    <w:rsid w:val="00747018"/>
    <w:rsid w:val="007515AE"/>
    <w:rsid w:val="0075443C"/>
    <w:rsid w:val="00754DEE"/>
    <w:rsid w:val="007557D8"/>
    <w:rsid w:val="007576AE"/>
    <w:rsid w:val="0076147E"/>
    <w:rsid w:val="00763CB1"/>
    <w:rsid w:val="00765FAE"/>
    <w:rsid w:val="007662C8"/>
    <w:rsid w:val="007662E8"/>
    <w:rsid w:val="00770DA6"/>
    <w:rsid w:val="007719AA"/>
    <w:rsid w:val="00773132"/>
    <w:rsid w:val="007731D0"/>
    <w:rsid w:val="007758BC"/>
    <w:rsid w:val="00782672"/>
    <w:rsid w:val="00784E97"/>
    <w:rsid w:val="0078524B"/>
    <w:rsid w:val="007855C0"/>
    <w:rsid w:val="007878FF"/>
    <w:rsid w:val="00790552"/>
    <w:rsid w:val="00794A1D"/>
    <w:rsid w:val="007951DD"/>
    <w:rsid w:val="007968CF"/>
    <w:rsid w:val="00797348"/>
    <w:rsid w:val="007A0B8F"/>
    <w:rsid w:val="007A6A74"/>
    <w:rsid w:val="007B019A"/>
    <w:rsid w:val="007B3DC0"/>
    <w:rsid w:val="007B3E92"/>
    <w:rsid w:val="007B4EF5"/>
    <w:rsid w:val="007C2A11"/>
    <w:rsid w:val="007C30EE"/>
    <w:rsid w:val="007C7BED"/>
    <w:rsid w:val="007D1EBB"/>
    <w:rsid w:val="007D4102"/>
    <w:rsid w:val="007D5324"/>
    <w:rsid w:val="007D561E"/>
    <w:rsid w:val="007D56BC"/>
    <w:rsid w:val="007D57F1"/>
    <w:rsid w:val="007E03A4"/>
    <w:rsid w:val="007E17CD"/>
    <w:rsid w:val="007E300D"/>
    <w:rsid w:val="007F0721"/>
    <w:rsid w:val="007F1F2B"/>
    <w:rsid w:val="007F2981"/>
    <w:rsid w:val="007F53EF"/>
    <w:rsid w:val="007F5B6E"/>
    <w:rsid w:val="007F66F3"/>
    <w:rsid w:val="00800D31"/>
    <w:rsid w:val="00801F47"/>
    <w:rsid w:val="00804831"/>
    <w:rsid w:val="00804AF6"/>
    <w:rsid w:val="00807E16"/>
    <w:rsid w:val="008107FE"/>
    <w:rsid w:val="00813008"/>
    <w:rsid w:val="00821161"/>
    <w:rsid w:val="00821B6F"/>
    <w:rsid w:val="00822E57"/>
    <w:rsid w:val="008239AA"/>
    <w:rsid w:val="00831420"/>
    <w:rsid w:val="00834EE8"/>
    <w:rsid w:val="008423A4"/>
    <w:rsid w:val="0084259A"/>
    <w:rsid w:val="00842646"/>
    <w:rsid w:val="00843F28"/>
    <w:rsid w:val="0084415C"/>
    <w:rsid w:val="00844859"/>
    <w:rsid w:val="008509EC"/>
    <w:rsid w:val="008521DC"/>
    <w:rsid w:val="008522B2"/>
    <w:rsid w:val="008553E1"/>
    <w:rsid w:val="008602DD"/>
    <w:rsid w:val="008610BA"/>
    <w:rsid w:val="00862774"/>
    <w:rsid w:val="00862CE1"/>
    <w:rsid w:val="008632E3"/>
    <w:rsid w:val="00865635"/>
    <w:rsid w:val="00866633"/>
    <w:rsid w:val="00881542"/>
    <w:rsid w:val="008851C4"/>
    <w:rsid w:val="00892DFC"/>
    <w:rsid w:val="0089550A"/>
    <w:rsid w:val="00896AAC"/>
    <w:rsid w:val="008A1FB8"/>
    <w:rsid w:val="008A3075"/>
    <w:rsid w:val="008A5708"/>
    <w:rsid w:val="008B0BDB"/>
    <w:rsid w:val="008B3B39"/>
    <w:rsid w:val="008B3DDD"/>
    <w:rsid w:val="008B3F0D"/>
    <w:rsid w:val="008B4F96"/>
    <w:rsid w:val="008B5A92"/>
    <w:rsid w:val="008B7CCE"/>
    <w:rsid w:val="008C2BAD"/>
    <w:rsid w:val="008C30C4"/>
    <w:rsid w:val="008C471D"/>
    <w:rsid w:val="008C7F1B"/>
    <w:rsid w:val="008D332E"/>
    <w:rsid w:val="008D7B8E"/>
    <w:rsid w:val="008E0590"/>
    <w:rsid w:val="008E0E0C"/>
    <w:rsid w:val="008E1BD5"/>
    <w:rsid w:val="008E5C6F"/>
    <w:rsid w:val="008F1952"/>
    <w:rsid w:val="008F24AC"/>
    <w:rsid w:val="008F46CA"/>
    <w:rsid w:val="008F4E02"/>
    <w:rsid w:val="00900D52"/>
    <w:rsid w:val="00901CE2"/>
    <w:rsid w:val="00902980"/>
    <w:rsid w:val="00905952"/>
    <w:rsid w:val="009066DB"/>
    <w:rsid w:val="00907935"/>
    <w:rsid w:val="00907F13"/>
    <w:rsid w:val="0091248A"/>
    <w:rsid w:val="00914F1A"/>
    <w:rsid w:val="00917032"/>
    <w:rsid w:val="00930792"/>
    <w:rsid w:val="00930D4F"/>
    <w:rsid w:val="00932AC8"/>
    <w:rsid w:val="00932DFE"/>
    <w:rsid w:val="00937581"/>
    <w:rsid w:val="0093777C"/>
    <w:rsid w:val="009439AE"/>
    <w:rsid w:val="009474BF"/>
    <w:rsid w:val="00950C86"/>
    <w:rsid w:val="00954686"/>
    <w:rsid w:val="00954FB6"/>
    <w:rsid w:val="00955B49"/>
    <w:rsid w:val="00955E1B"/>
    <w:rsid w:val="009572E1"/>
    <w:rsid w:val="00957F5B"/>
    <w:rsid w:val="0096008E"/>
    <w:rsid w:val="009608AF"/>
    <w:rsid w:val="00961738"/>
    <w:rsid w:val="0096306D"/>
    <w:rsid w:val="0096439F"/>
    <w:rsid w:val="0096506D"/>
    <w:rsid w:val="009733C7"/>
    <w:rsid w:val="0097586A"/>
    <w:rsid w:val="00975C5D"/>
    <w:rsid w:val="0097756C"/>
    <w:rsid w:val="00982E17"/>
    <w:rsid w:val="009909AE"/>
    <w:rsid w:val="00990B0A"/>
    <w:rsid w:val="00990F5F"/>
    <w:rsid w:val="009920DD"/>
    <w:rsid w:val="0099269E"/>
    <w:rsid w:val="00992814"/>
    <w:rsid w:val="00993254"/>
    <w:rsid w:val="009937F2"/>
    <w:rsid w:val="00993908"/>
    <w:rsid w:val="00997D9E"/>
    <w:rsid w:val="009A28B2"/>
    <w:rsid w:val="009A4D18"/>
    <w:rsid w:val="009A596B"/>
    <w:rsid w:val="009A6165"/>
    <w:rsid w:val="009B20D0"/>
    <w:rsid w:val="009B3557"/>
    <w:rsid w:val="009B5E65"/>
    <w:rsid w:val="009B67FB"/>
    <w:rsid w:val="009C02AA"/>
    <w:rsid w:val="009C3903"/>
    <w:rsid w:val="009C62F0"/>
    <w:rsid w:val="009D0300"/>
    <w:rsid w:val="009D1B2F"/>
    <w:rsid w:val="009D3DB5"/>
    <w:rsid w:val="009D548C"/>
    <w:rsid w:val="009E14DF"/>
    <w:rsid w:val="009E3B79"/>
    <w:rsid w:val="009F7535"/>
    <w:rsid w:val="00A00360"/>
    <w:rsid w:val="00A01830"/>
    <w:rsid w:val="00A02B3A"/>
    <w:rsid w:val="00A03CD6"/>
    <w:rsid w:val="00A03F0C"/>
    <w:rsid w:val="00A051D5"/>
    <w:rsid w:val="00A11E21"/>
    <w:rsid w:val="00A130CB"/>
    <w:rsid w:val="00A15151"/>
    <w:rsid w:val="00A23398"/>
    <w:rsid w:val="00A239A0"/>
    <w:rsid w:val="00A263C5"/>
    <w:rsid w:val="00A309CD"/>
    <w:rsid w:val="00A31761"/>
    <w:rsid w:val="00A34750"/>
    <w:rsid w:val="00A3769F"/>
    <w:rsid w:val="00A41DFF"/>
    <w:rsid w:val="00A43197"/>
    <w:rsid w:val="00A4543B"/>
    <w:rsid w:val="00A45FCC"/>
    <w:rsid w:val="00A46BDC"/>
    <w:rsid w:val="00A47401"/>
    <w:rsid w:val="00A50E65"/>
    <w:rsid w:val="00A51AA6"/>
    <w:rsid w:val="00A52858"/>
    <w:rsid w:val="00A534CC"/>
    <w:rsid w:val="00A535E3"/>
    <w:rsid w:val="00A557C7"/>
    <w:rsid w:val="00A6102E"/>
    <w:rsid w:val="00A617C8"/>
    <w:rsid w:val="00A6197C"/>
    <w:rsid w:val="00A6711D"/>
    <w:rsid w:val="00A705EC"/>
    <w:rsid w:val="00A724F3"/>
    <w:rsid w:val="00A74904"/>
    <w:rsid w:val="00A755D3"/>
    <w:rsid w:val="00A81AF0"/>
    <w:rsid w:val="00A81CA5"/>
    <w:rsid w:val="00A8364E"/>
    <w:rsid w:val="00A84BD9"/>
    <w:rsid w:val="00A87ACA"/>
    <w:rsid w:val="00A915FE"/>
    <w:rsid w:val="00A92592"/>
    <w:rsid w:val="00A938B6"/>
    <w:rsid w:val="00A965C2"/>
    <w:rsid w:val="00A972F9"/>
    <w:rsid w:val="00AA0B34"/>
    <w:rsid w:val="00AA1035"/>
    <w:rsid w:val="00AA1A4C"/>
    <w:rsid w:val="00AA23DC"/>
    <w:rsid w:val="00AA2588"/>
    <w:rsid w:val="00AA272A"/>
    <w:rsid w:val="00AA7A36"/>
    <w:rsid w:val="00AB09DE"/>
    <w:rsid w:val="00AB12A7"/>
    <w:rsid w:val="00AB28A1"/>
    <w:rsid w:val="00AB37C7"/>
    <w:rsid w:val="00AB6073"/>
    <w:rsid w:val="00AB75E0"/>
    <w:rsid w:val="00AC1876"/>
    <w:rsid w:val="00AC23AA"/>
    <w:rsid w:val="00AC3BDA"/>
    <w:rsid w:val="00AC549D"/>
    <w:rsid w:val="00AC65AE"/>
    <w:rsid w:val="00AC7997"/>
    <w:rsid w:val="00AC7BFF"/>
    <w:rsid w:val="00AD1646"/>
    <w:rsid w:val="00AD3F5B"/>
    <w:rsid w:val="00AD4EAF"/>
    <w:rsid w:val="00AD7063"/>
    <w:rsid w:val="00AD71AC"/>
    <w:rsid w:val="00AE014A"/>
    <w:rsid w:val="00AE2471"/>
    <w:rsid w:val="00AE5239"/>
    <w:rsid w:val="00AE6155"/>
    <w:rsid w:val="00AF14DD"/>
    <w:rsid w:val="00AF24D3"/>
    <w:rsid w:val="00AF51FC"/>
    <w:rsid w:val="00B037CC"/>
    <w:rsid w:val="00B03EA0"/>
    <w:rsid w:val="00B04764"/>
    <w:rsid w:val="00B04A1A"/>
    <w:rsid w:val="00B06047"/>
    <w:rsid w:val="00B06DC3"/>
    <w:rsid w:val="00B07975"/>
    <w:rsid w:val="00B10C50"/>
    <w:rsid w:val="00B12A8C"/>
    <w:rsid w:val="00B145F8"/>
    <w:rsid w:val="00B22197"/>
    <w:rsid w:val="00B27FF4"/>
    <w:rsid w:val="00B31CFA"/>
    <w:rsid w:val="00B32112"/>
    <w:rsid w:val="00B32139"/>
    <w:rsid w:val="00B324E6"/>
    <w:rsid w:val="00B32DE8"/>
    <w:rsid w:val="00B3661A"/>
    <w:rsid w:val="00B41362"/>
    <w:rsid w:val="00B4158A"/>
    <w:rsid w:val="00B41CC1"/>
    <w:rsid w:val="00B424EE"/>
    <w:rsid w:val="00B425C6"/>
    <w:rsid w:val="00B43C50"/>
    <w:rsid w:val="00B46572"/>
    <w:rsid w:val="00B50995"/>
    <w:rsid w:val="00B521E7"/>
    <w:rsid w:val="00B528D1"/>
    <w:rsid w:val="00B5347A"/>
    <w:rsid w:val="00B56BDF"/>
    <w:rsid w:val="00B57D0F"/>
    <w:rsid w:val="00B57D86"/>
    <w:rsid w:val="00B61F50"/>
    <w:rsid w:val="00B62A96"/>
    <w:rsid w:val="00B70972"/>
    <w:rsid w:val="00B70CBE"/>
    <w:rsid w:val="00B71F3F"/>
    <w:rsid w:val="00B72BD8"/>
    <w:rsid w:val="00B73635"/>
    <w:rsid w:val="00B761D4"/>
    <w:rsid w:val="00B8098F"/>
    <w:rsid w:val="00B80A72"/>
    <w:rsid w:val="00B8549E"/>
    <w:rsid w:val="00B85B9F"/>
    <w:rsid w:val="00B86F0F"/>
    <w:rsid w:val="00B87BA1"/>
    <w:rsid w:val="00B92681"/>
    <w:rsid w:val="00B9319C"/>
    <w:rsid w:val="00B97A16"/>
    <w:rsid w:val="00BA1B00"/>
    <w:rsid w:val="00BA1EC5"/>
    <w:rsid w:val="00BA6787"/>
    <w:rsid w:val="00BA7B7A"/>
    <w:rsid w:val="00BB3B02"/>
    <w:rsid w:val="00BB41AB"/>
    <w:rsid w:val="00BB44E7"/>
    <w:rsid w:val="00BB62EC"/>
    <w:rsid w:val="00BC1EA7"/>
    <w:rsid w:val="00BC276B"/>
    <w:rsid w:val="00BC3043"/>
    <w:rsid w:val="00BC3F33"/>
    <w:rsid w:val="00BC427C"/>
    <w:rsid w:val="00BC4AF2"/>
    <w:rsid w:val="00BC5258"/>
    <w:rsid w:val="00BD2CD7"/>
    <w:rsid w:val="00BD545E"/>
    <w:rsid w:val="00BD64A5"/>
    <w:rsid w:val="00BD6890"/>
    <w:rsid w:val="00BE0CFC"/>
    <w:rsid w:val="00BE1867"/>
    <w:rsid w:val="00BE1D09"/>
    <w:rsid w:val="00BE3975"/>
    <w:rsid w:val="00BE5631"/>
    <w:rsid w:val="00BE78A4"/>
    <w:rsid w:val="00BF3E4E"/>
    <w:rsid w:val="00BF76E8"/>
    <w:rsid w:val="00C0261E"/>
    <w:rsid w:val="00C1275D"/>
    <w:rsid w:val="00C129AF"/>
    <w:rsid w:val="00C130FC"/>
    <w:rsid w:val="00C1387D"/>
    <w:rsid w:val="00C1517A"/>
    <w:rsid w:val="00C2111D"/>
    <w:rsid w:val="00C21131"/>
    <w:rsid w:val="00C23C4E"/>
    <w:rsid w:val="00C25A0D"/>
    <w:rsid w:val="00C265DF"/>
    <w:rsid w:val="00C26884"/>
    <w:rsid w:val="00C26BA0"/>
    <w:rsid w:val="00C31EAE"/>
    <w:rsid w:val="00C33E12"/>
    <w:rsid w:val="00C366C5"/>
    <w:rsid w:val="00C37E8A"/>
    <w:rsid w:val="00C44F38"/>
    <w:rsid w:val="00C45AF5"/>
    <w:rsid w:val="00C46CAC"/>
    <w:rsid w:val="00C476B1"/>
    <w:rsid w:val="00C50892"/>
    <w:rsid w:val="00C51646"/>
    <w:rsid w:val="00C516AD"/>
    <w:rsid w:val="00C523FF"/>
    <w:rsid w:val="00C5494A"/>
    <w:rsid w:val="00C57544"/>
    <w:rsid w:val="00C616A0"/>
    <w:rsid w:val="00C61B87"/>
    <w:rsid w:val="00C630A4"/>
    <w:rsid w:val="00C65AAE"/>
    <w:rsid w:val="00C707CA"/>
    <w:rsid w:val="00C716A3"/>
    <w:rsid w:val="00C7269E"/>
    <w:rsid w:val="00C73DFB"/>
    <w:rsid w:val="00C75A38"/>
    <w:rsid w:val="00C76A4A"/>
    <w:rsid w:val="00C76F74"/>
    <w:rsid w:val="00C831C3"/>
    <w:rsid w:val="00C844A3"/>
    <w:rsid w:val="00C84BA5"/>
    <w:rsid w:val="00C86662"/>
    <w:rsid w:val="00C86DF5"/>
    <w:rsid w:val="00C930E2"/>
    <w:rsid w:val="00C94782"/>
    <w:rsid w:val="00C950B0"/>
    <w:rsid w:val="00C97BD6"/>
    <w:rsid w:val="00C97D49"/>
    <w:rsid w:val="00CA1793"/>
    <w:rsid w:val="00CA2BAD"/>
    <w:rsid w:val="00CA4811"/>
    <w:rsid w:val="00CA5115"/>
    <w:rsid w:val="00CA539E"/>
    <w:rsid w:val="00CA5887"/>
    <w:rsid w:val="00CA626E"/>
    <w:rsid w:val="00CA768E"/>
    <w:rsid w:val="00CA775D"/>
    <w:rsid w:val="00CB11DA"/>
    <w:rsid w:val="00CB40DC"/>
    <w:rsid w:val="00CB429A"/>
    <w:rsid w:val="00CB7AD9"/>
    <w:rsid w:val="00CC2710"/>
    <w:rsid w:val="00CC2988"/>
    <w:rsid w:val="00CC5365"/>
    <w:rsid w:val="00CC63CE"/>
    <w:rsid w:val="00CD2C1F"/>
    <w:rsid w:val="00CD3631"/>
    <w:rsid w:val="00CD6CD0"/>
    <w:rsid w:val="00CD7AA3"/>
    <w:rsid w:val="00CE1934"/>
    <w:rsid w:val="00CE2465"/>
    <w:rsid w:val="00CE7757"/>
    <w:rsid w:val="00CF588B"/>
    <w:rsid w:val="00CF7887"/>
    <w:rsid w:val="00D002B8"/>
    <w:rsid w:val="00D01553"/>
    <w:rsid w:val="00D0245A"/>
    <w:rsid w:val="00D0292F"/>
    <w:rsid w:val="00D03A2D"/>
    <w:rsid w:val="00D05960"/>
    <w:rsid w:val="00D06325"/>
    <w:rsid w:val="00D14351"/>
    <w:rsid w:val="00D15536"/>
    <w:rsid w:val="00D15BC0"/>
    <w:rsid w:val="00D15F93"/>
    <w:rsid w:val="00D16C44"/>
    <w:rsid w:val="00D16CCC"/>
    <w:rsid w:val="00D23F70"/>
    <w:rsid w:val="00D25121"/>
    <w:rsid w:val="00D2552A"/>
    <w:rsid w:val="00D26B0B"/>
    <w:rsid w:val="00D272B7"/>
    <w:rsid w:val="00D33521"/>
    <w:rsid w:val="00D40FBD"/>
    <w:rsid w:val="00D422ED"/>
    <w:rsid w:val="00D43260"/>
    <w:rsid w:val="00D47567"/>
    <w:rsid w:val="00D5011B"/>
    <w:rsid w:val="00D51364"/>
    <w:rsid w:val="00D55081"/>
    <w:rsid w:val="00D559BC"/>
    <w:rsid w:val="00D572E4"/>
    <w:rsid w:val="00D57C36"/>
    <w:rsid w:val="00D60A2C"/>
    <w:rsid w:val="00D660E3"/>
    <w:rsid w:val="00D664BA"/>
    <w:rsid w:val="00D7160D"/>
    <w:rsid w:val="00D71C50"/>
    <w:rsid w:val="00D72925"/>
    <w:rsid w:val="00D74807"/>
    <w:rsid w:val="00D82B5D"/>
    <w:rsid w:val="00D838BF"/>
    <w:rsid w:val="00D86801"/>
    <w:rsid w:val="00D87AE5"/>
    <w:rsid w:val="00D9060A"/>
    <w:rsid w:val="00D926B6"/>
    <w:rsid w:val="00D93322"/>
    <w:rsid w:val="00D93335"/>
    <w:rsid w:val="00DA1021"/>
    <w:rsid w:val="00DA1B6A"/>
    <w:rsid w:val="00DA2F5C"/>
    <w:rsid w:val="00DB07A7"/>
    <w:rsid w:val="00DB5693"/>
    <w:rsid w:val="00DB6413"/>
    <w:rsid w:val="00DC03E7"/>
    <w:rsid w:val="00DC2398"/>
    <w:rsid w:val="00DC361F"/>
    <w:rsid w:val="00DC4D17"/>
    <w:rsid w:val="00DC6E21"/>
    <w:rsid w:val="00DD2D86"/>
    <w:rsid w:val="00DD7590"/>
    <w:rsid w:val="00DE1578"/>
    <w:rsid w:val="00DE3950"/>
    <w:rsid w:val="00DE6E37"/>
    <w:rsid w:val="00DF47C6"/>
    <w:rsid w:val="00DF4F93"/>
    <w:rsid w:val="00DF4FE8"/>
    <w:rsid w:val="00E0011B"/>
    <w:rsid w:val="00E00D79"/>
    <w:rsid w:val="00E0195A"/>
    <w:rsid w:val="00E03ADB"/>
    <w:rsid w:val="00E054F4"/>
    <w:rsid w:val="00E113C4"/>
    <w:rsid w:val="00E139DB"/>
    <w:rsid w:val="00E17C88"/>
    <w:rsid w:val="00E207C3"/>
    <w:rsid w:val="00E2134F"/>
    <w:rsid w:val="00E2381C"/>
    <w:rsid w:val="00E24CAD"/>
    <w:rsid w:val="00E26FFF"/>
    <w:rsid w:val="00E27DF3"/>
    <w:rsid w:val="00E36CE6"/>
    <w:rsid w:val="00E4084E"/>
    <w:rsid w:val="00E41E0D"/>
    <w:rsid w:val="00E433A5"/>
    <w:rsid w:val="00E47525"/>
    <w:rsid w:val="00E47E10"/>
    <w:rsid w:val="00E50FF8"/>
    <w:rsid w:val="00E5144A"/>
    <w:rsid w:val="00E53D08"/>
    <w:rsid w:val="00E5458C"/>
    <w:rsid w:val="00E61D1F"/>
    <w:rsid w:val="00E62B79"/>
    <w:rsid w:val="00E62CE3"/>
    <w:rsid w:val="00E64B79"/>
    <w:rsid w:val="00E650A8"/>
    <w:rsid w:val="00E66498"/>
    <w:rsid w:val="00E668A1"/>
    <w:rsid w:val="00E71FA2"/>
    <w:rsid w:val="00E72BA2"/>
    <w:rsid w:val="00E7312A"/>
    <w:rsid w:val="00E73FF5"/>
    <w:rsid w:val="00E74EF0"/>
    <w:rsid w:val="00E753D9"/>
    <w:rsid w:val="00E8117F"/>
    <w:rsid w:val="00E81CE7"/>
    <w:rsid w:val="00E81D7D"/>
    <w:rsid w:val="00E820D7"/>
    <w:rsid w:val="00E844C4"/>
    <w:rsid w:val="00E84BE9"/>
    <w:rsid w:val="00E851F5"/>
    <w:rsid w:val="00E86997"/>
    <w:rsid w:val="00E92ADC"/>
    <w:rsid w:val="00E9449A"/>
    <w:rsid w:val="00E95EB7"/>
    <w:rsid w:val="00E968FE"/>
    <w:rsid w:val="00EA0DA7"/>
    <w:rsid w:val="00EA181E"/>
    <w:rsid w:val="00EA4899"/>
    <w:rsid w:val="00EA4910"/>
    <w:rsid w:val="00EA5D09"/>
    <w:rsid w:val="00EA7B79"/>
    <w:rsid w:val="00EB2E82"/>
    <w:rsid w:val="00EB4AC7"/>
    <w:rsid w:val="00EC125D"/>
    <w:rsid w:val="00EC343B"/>
    <w:rsid w:val="00EC47DD"/>
    <w:rsid w:val="00EC5F52"/>
    <w:rsid w:val="00EC766C"/>
    <w:rsid w:val="00ED0CF3"/>
    <w:rsid w:val="00ED3F3D"/>
    <w:rsid w:val="00ED46CD"/>
    <w:rsid w:val="00ED4BA5"/>
    <w:rsid w:val="00ED5E26"/>
    <w:rsid w:val="00ED5EB6"/>
    <w:rsid w:val="00ED7176"/>
    <w:rsid w:val="00ED7E96"/>
    <w:rsid w:val="00EE0866"/>
    <w:rsid w:val="00EE1954"/>
    <w:rsid w:val="00EE30DB"/>
    <w:rsid w:val="00EE4726"/>
    <w:rsid w:val="00EE602D"/>
    <w:rsid w:val="00EE6249"/>
    <w:rsid w:val="00EF0434"/>
    <w:rsid w:val="00EF0675"/>
    <w:rsid w:val="00EF375E"/>
    <w:rsid w:val="00EF4C0C"/>
    <w:rsid w:val="00EF70C3"/>
    <w:rsid w:val="00F06307"/>
    <w:rsid w:val="00F07AAE"/>
    <w:rsid w:val="00F11209"/>
    <w:rsid w:val="00F12994"/>
    <w:rsid w:val="00F13C05"/>
    <w:rsid w:val="00F14662"/>
    <w:rsid w:val="00F20053"/>
    <w:rsid w:val="00F21F4C"/>
    <w:rsid w:val="00F22288"/>
    <w:rsid w:val="00F24A3E"/>
    <w:rsid w:val="00F3070A"/>
    <w:rsid w:val="00F31A4E"/>
    <w:rsid w:val="00F34D53"/>
    <w:rsid w:val="00F35556"/>
    <w:rsid w:val="00F40C5F"/>
    <w:rsid w:val="00F46916"/>
    <w:rsid w:val="00F50680"/>
    <w:rsid w:val="00F5499D"/>
    <w:rsid w:val="00F5590E"/>
    <w:rsid w:val="00F57D9D"/>
    <w:rsid w:val="00F67946"/>
    <w:rsid w:val="00F70E10"/>
    <w:rsid w:val="00F71841"/>
    <w:rsid w:val="00F72206"/>
    <w:rsid w:val="00F72516"/>
    <w:rsid w:val="00F766D7"/>
    <w:rsid w:val="00F80E9D"/>
    <w:rsid w:val="00F85247"/>
    <w:rsid w:val="00F86967"/>
    <w:rsid w:val="00F87190"/>
    <w:rsid w:val="00F9588E"/>
    <w:rsid w:val="00F9782E"/>
    <w:rsid w:val="00FA22F9"/>
    <w:rsid w:val="00FA3D3C"/>
    <w:rsid w:val="00FA4EE6"/>
    <w:rsid w:val="00FA537C"/>
    <w:rsid w:val="00FA67A2"/>
    <w:rsid w:val="00FA6896"/>
    <w:rsid w:val="00FA6979"/>
    <w:rsid w:val="00FA745F"/>
    <w:rsid w:val="00FB1151"/>
    <w:rsid w:val="00FB30A0"/>
    <w:rsid w:val="00FB6358"/>
    <w:rsid w:val="00FC5B2E"/>
    <w:rsid w:val="00FD1E4E"/>
    <w:rsid w:val="00FD1F07"/>
    <w:rsid w:val="00FD209A"/>
    <w:rsid w:val="00FD4174"/>
    <w:rsid w:val="00FD5737"/>
    <w:rsid w:val="00FD60AE"/>
    <w:rsid w:val="00FE240B"/>
    <w:rsid w:val="00FE6985"/>
    <w:rsid w:val="00FE70F4"/>
    <w:rsid w:val="00FF318A"/>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EF"/>
    <w:pPr>
      <w:ind w:firstLine="720"/>
    </w:pPr>
    <w:rPr>
      <w:rFonts w:eastAsia="Times New Roman" w:cs="Times New Roman"/>
      <w:szCs w:val="24"/>
    </w:rPr>
  </w:style>
  <w:style w:type="paragraph" w:styleId="Heading1">
    <w:name w:val="heading 1"/>
    <w:basedOn w:val="Normal"/>
    <w:next w:val="Normal"/>
    <w:link w:val="Heading1Char"/>
    <w:qFormat/>
    <w:rsid w:val="00704625"/>
    <w:pPr>
      <w:keepNext/>
      <w:spacing w:after="12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246E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6E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625"/>
    <w:rPr>
      <w:rFonts w:eastAsiaTheme="majorEastAsia" w:cstheme="majorBidi"/>
      <w:b/>
      <w:bCs/>
      <w:kern w:val="32"/>
      <w:szCs w:val="32"/>
      <w:lang w:val="en-CA" w:eastAsia="en-CA"/>
    </w:rPr>
  </w:style>
  <w:style w:type="paragraph" w:styleId="NormalWeb">
    <w:name w:val="Normal (Web)"/>
    <w:basedOn w:val="Normal"/>
    <w:semiHidden/>
    <w:unhideWhenUsed/>
    <w:rsid w:val="0096439F"/>
    <w:pPr>
      <w:spacing w:before="100" w:beforeAutospacing="1" w:after="100" w:afterAutospacing="1"/>
    </w:pPr>
  </w:style>
  <w:style w:type="character" w:styleId="BookTitle">
    <w:name w:val="Book Title"/>
    <w:basedOn w:val="DefaultParagraphFont"/>
    <w:rsid w:val="0096439F"/>
    <w:rPr>
      <w:b/>
      <w:bCs/>
      <w:i/>
      <w:iCs/>
      <w:spacing w:val="5"/>
    </w:rPr>
  </w:style>
  <w:style w:type="paragraph" w:styleId="BalloonText">
    <w:name w:val="Balloon Text"/>
    <w:basedOn w:val="Normal"/>
    <w:link w:val="BalloonTextChar"/>
    <w:uiPriority w:val="99"/>
    <w:semiHidden/>
    <w:unhideWhenUsed/>
    <w:rsid w:val="00EF4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0C"/>
    <w:rPr>
      <w:rFonts w:ascii="Segoe UI" w:eastAsia="Times New Roman" w:hAnsi="Segoe UI" w:cs="Segoe UI"/>
      <w:sz w:val="18"/>
      <w:szCs w:val="18"/>
      <w:lang w:val="en-CA" w:eastAsia="en-CA"/>
    </w:rPr>
  </w:style>
  <w:style w:type="character" w:styleId="Hyperlink">
    <w:name w:val="Hyperlink"/>
    <w:basedOn w:val="DefaultParagraphFont"/>
    <w:uiPriority w:val="99"/>
    <w:unhideWhenUsed/>
    <w:rsid w:val="004C4DF6"/>
    <w:rPr>
      <w:color w:val="0563C1" w:themeColor="hyperlink"/>
      <w:u w:val="single"/>
    </w:rPr>
  </w:style>
  <w:style w:type="character" w:styleId="UnresolvedMention">
    <w:name w:val="Unresolved Mention"/>
    <w:basedOn w:val="DefaultParagraphFont"/>
    <w:uiPriority w:val="99"/>
    <w:semiHidden/>
    <w:unhideWhenUsed/>
    <w:rsid w:val="004C4DF6"/>
    <w:rPr>
      <w:color w:val="605E5C"/>
      <w:shd w:val="clear" w:color="auto" w:fill="E1DFDD"/>
    </w:rPr>
  </w:style>
  <w:style w:type="paragraph" w:styleId="NoSpacing">
    <w:name w:val="No Spacing"/>
    <w:uiPriority w:val="1"/>
    <w:qFormat/>
    <w:rsid w:val="006F7905"/>
    <w:pPr>
      <w:spacing w:line="240" w:lineRule="auto"/>
    </w:pPr>
    <w:rPr>
      <w:rFonts w:eastAsia="Times New Roman" w:cs="Times New Roman"/>
      <w:szCs w:val="24"/>
      <w:lang w:val="en-CA" w:eastAsia="en-CA"/>
    </w:rPr>
  </w:style>
  <w:style w:type="paragraph" w:styleId="FootnoteText">
    <w:name w:val="footnote text"/>
    <w:basedOn w:val="Normal"/>
    <w:link w:val="FootnoteTextChar"/>
    <w:uiPriority w:val="99"/>
    <w:unhideWhenUsed/>
    <w:rsid w:val="00C1275D"/>
    <w:rPr>
      <w:sz w:val="20"/>
      <w:szCs w:val="20"/>
    </w:rPr>
  </w:style>
  <w:style w:type="character" w:customStyle="1" w:styleId="FootnoteTextChar">
    <w:name w:val="Footnote Text Char"/>
    <w:basedOn w:val="DefaultParagraphFont"/>
    <w:link w:val="FootnoteText"/>
    <w:uiPriority w:val="99"/>
    <w:rsid w:val="00C1275D"/>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C1275D"/>
    <w:rPr>
      <w:vertAlign w:val="superscript"/>
    </w:rPr>
  </w:style>
  <w:style w:type="paragraph" w:styleId="Header">
    <w:name w:val="header"/>
    <w:basedOn w:val="Normal"/>
    <w:link w:val="HeaderChar"/>
    <w:uiPriority w:val="99"/>
    <w:unhideWhenUsed/>
    <w:rsid w:val="00435B85"/>
    <w:pPr>
      <w:tabs>
        <w:tab w:val="center" w:pos="4680"/>
        <w:tab w:val="right" w:pos="9360"/>
      </w:tabs>
    </w:pPr>
  </w:style>
  <w:style w:type="character" w:customStyle="1" w:styleId="HeaderChar">
    <w:name w:val="Header Char"/>
    <w:basedOn w:val="DefaultParagraphFont"/>
    <w:link w:val="Header"/>
    <w:uiPriority w:val="99"/>
    <w:rsid w:val="00435B85"/>
    <w:rPr>
      <w:rFonts w:eastAsia="Times New Roman" w:cs="Times New Roman"/>
      <w:szCs w:val="24"/>
      <w:lang w:val="en-CA" w:eastAsia="en-CA"/>
    </w:rPr>
  </w:style>
  <w:style w:type="paragraph" w:styleId="Footer">
    <w:name w:val="footer"/>
    <w:basedOn w:val="Normal"/>
    <w:link w:val="FooterChar"/>
    <w:uiPriority w:val="99"/>
    <w:unhideWhenUsed/>
    <w:rsid w:val="00435B85"/>
    <w:pPr>
      <w:tabs>
        <w:tab w:val="center" w:pos="4680"/>
        <w:tab w:val="right" w:pos="9360"/>
      </w:tabs>
    </w:pPr>
  </w:style>
  <w:style w:type="character" w:customStyle="1" w:styleId="FooterChar">
    <w:name w:val="Footer Char"/>
    <w:basedOn w:val="DefaultParagraphFont"/>
    <w:link w:val="Footer"/>
    <w:uiPriority w:val="99"/>
    <w:rsid w:val="00435B85"/>
    <w:rPr>
      <w:rFonts w:eastAsia="Times New Roman" w:cs="Times New Roman"/>
      <w:szCs w:val="24"/>
      <w:lang w:val="en-CA" w:eastAsia="en-CA"/>
    </w:rPr>
  </w:style>
  <w:style w:type="character" w:styleId="CommentReference">
    <w:name w:val="annotation reference"/>
    <w:basedOn w:val="DefaultParagraphFont"/>
    <w:uiPriority w:val="99"/>
    <w:semiHidden/>
    <w:unhideWhenUsed/>
    <w:rsid w:val="008C2BAD"/>
    <w:rPr>
      <w:sz w:val="16"/>
      <w:szCs w:val="16"/>
    </w:rPr>
  </w:style>
  <w:style w:type="paragraph" w:styleId="CommentText">
    <w:name w:val="annotation text"/>
    <w:basedOn w:val="Normal"/>
    <w:link w:val="CommentTextChar"/>
    <w:uiPriority w:val="99"/>
    <w:unhideWhenUsed/>
    <w:rsid w:val="008C2BAD"/>
    <w:rPr>
      <w:sz w:val="20"/>
      <w:szCs w:val="20"/>
    </w:rPr>
  </w:style>
  <w:style w:type="character" w:customStyle="1" w:styleId="CommentTextChar">
    <w:name w:val="Comment Text Char"/>
    <w:basedOn w:val="DefaultParagraphFont"/>
    <w:link w:val="CommentText"/>
    <w:uiPriority w:val="99"/>
    <w:rsid w:val="008C2BAD"/>
    <w:rPr>
      <w:rFonts w:eastAsia="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C2BAD"/>
    <w:rPr>
      <w:b/>
      <w:bCs/>
    </w:rPr>
  </w:style>
  <w:style w:type="character" w:customStyle="1" w:styleId="CommentSubjectChar">
    <w:name w:val="Comment Subject Char"/>
    <w:basedOn w:val="CommentTextChar"/>
    <w:link w:val="CommentSubject"/>
    <w:uiPriority w:val="99"/>
    <w:semiHidden/>
    <w:rsid w:val="008C2BAD"/>
    <w:rPr>
      <w:rFonts w:eastAsia="Times New Roman" w:cs="Times New Roman"/>
      <w:b/>
      <w:bCs/>
      <w:sz w:val="20"/>
      <w:szCs w:val="20"/>
      <w:lang w:val="en-CA" w:eastAsia="en-CA"/>
    </w:rPr>
  </w:style>
  <w:style w:type="paragraph" w:styleId="ListParagraph">
    <w:name w:val="List Paragraph"/>
    <w:basedOn w:val="Normal"/>
    <w:uiPriority w:val="34"/>
    <w:qFormat/>
    <w:rsid w:val="008E0590"/>
    <w:pPr>
      <w:ind w:left="720"/>
      <w:contextualSpacing/>
    </w:pPr>
    <w:rPr>
      <w:rFonts w:eastAsiaTheme="minorHAnsi" w:cstheme="minorBidi"/>
      <w:szCs w:val="22"/>
    </w:rPr>
  </w:style>
  <w:style w:type="character" w:styleId="FollowedHyperlink">
    <w:name w:val="FollowedHyperlink"/>
    <w:basedOn w:val="DefaultParagraphFont"/>
    <w:uiPriority w:val="99"/>
    <w:semiHidden/>
    <w:unhideWhenUsed/>
    <w:rsid w:val="00CA1793"/>
    <w:rPr>
      <w:color w:val="954F72" w:themeColor="followedHyperlink"/>
      <w:u w:val="single"/>
    </w:rPr>
  </w:style>
  <w:style w:type="paragraph" w:customStyle="1" w:styleId="CUNYAPA7">
    <w:name w:val="CUNY APA7"/>
    <w:basedOn w:val="Normal"/>
    <w:rsid w:val="0084259A"/>
    <w:pPr>
      <w:ind w:left="720" w:hanging="720"/>
    </w:pPr>
  </w:style>
  <w:style w:type="character" w:customStyle="1" w:styleId="bibliographic-informationvalue">
    <w:name w:val="bibliographic-information__value"/>
    <w:basedOn w:val="DefaultParagraphFont"/>
    <w:rsid w:val="00A92592"/>
  </w:style>
  <w:style w:type="character" w:customStyle="1" w:styleId="value">
    <w:name w:val="value"/>
    <w:basedOn w:val="DefaultParagraphFont"/>
    <w:rsid w:val="00D57C36"/>
  </w:style>
  <w:style w:type="character" w:styleId="PageNumber">
    <w:name w:val="page number"/>
    <w:basedOn w:val="DefaultParagraphFont"/>
    <w:uiPriority w:val="99"/>
    <w:semiHidden/>
    <w:unhideWhenUsed/>
    <w:rsid w:val="00F06307"/>
  </w:style>
  <w:style w:type="character" w:styleId="Emphasis">
    <w:name w:val="Emphasis"/>
    <w:basedOn w:val="DefaultParagraphFont"/>
    <w:uiPriority w:val="20"/>
    <w:qFormat/>
    <w:rsid w:val="00BB3B02"/>
    <w:rPr>
      <w:i/>
      <w:iCs/>
    </w:rPr>
  </w:style>
  <w:style w:type="table" w:styleId="TableGrid">
    <w:name w:val="Table Grid"/>
    <w:basedOn w:val="TableNormal"/>
    <w:uiPriority w:val="39"/>
    <w:rsid w:val="007973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6E61"/>
    <w:rPr>
      <w:rFonts w:asciiTheme="majorHAnsi" w:eastAsiaTheme="majorEastAsia" w:hAnsiTheme="majorHAnsi" w:cstheme="majorBidi"/>
      <w:color w:val="2F5496" w:themeColor="accent1" w:themeShade="BF"/>
      <w:sz w:val="26"/>
      <w:szCs w:val="26"/>
      <w:lang w:val="en-CA" w:eastAsia="en-CA"/>
    </w:rPr>
  </w:style>
  <w:style w:type="character" w:customStyle="1" w:styleId="Heading3Char">
    <w:name w:val="Heading 3 Char"/>
    <w:basedOn w:val="DefaultParagraphFont"/>
    <w:link w:val="Heading3"/>
    <w:uiPriority w:val="9"/>
    <w:rsid w:val="00246E61"/>
    <w:rPr>
      <w:rFonts w:asciiTheme="majorHAnsi" w:eastAsiaTheme="majorEastAsia" w:hAnsiTheme="majorHAnsi" w:cstheme="majorBidi"/>
      <w:color w:val="1F3763" w:themeColor="accent1" w:themeShade="7F"/>
      <w:szCs w:val="24"/>
      <w:lang w:val="en-CA" w:eastAsia="en-CA"/>
    </w:rPr>
  </w:style>
  <w:style w:type="character" w:styleId="HTMLCite">
    <w:name w:val="HTML Cite"/>
    <w:basedOn w:val="DefaultParagraphFont"/>
    <w:uiPriority w:val="99"/>
    <w:semiHidden/>
    <w:unhideWhenUsed/>
    <w:rsid w:val="00246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737">
      <w:bodyDiv w:val="1"/>
      <w:marLeft w:val="0"/>
      <w:marRight w:val="0"/>
      <w:marTop w:val="0"/>
      <w:marBottom w:val="0"/>
      <w:divBdr>
        <w:top w:val="none" w:sz="0" w:space="0" w:color="auto"/>
        <w:left w:val="none" w:sz="0" w:space="0" w:color="auto"/>
        <w:bottom w:val="none" w:sz="0" w:space="0" w:color="auto"/>
        <w:right w:val="none" w:sz="0" w:space="0" w:color="auto"/>
      </w:divBdr>
    </w:div>
    <w:div w:id="290407772">
      <w:bodyDiv w:val="1"/>
      <w:marLeft w:val="0"/>
      <w:marRight w:val="0"/>
      <w:marTop w:val="0"/>
      <w:marBottom w:val="0"/>
      <w:divBdr>
        <w:top w:val="none" w:sz="0" w:space="0" w:color="auto"/>
        <w:left w:val="none" w:sz="0" w:space="0" w:color="auto"/>
        <w:bottom w:val="none" w:sz="0" w:space="0" w:color="auto"/>
        <w:right w:val="none" w:sz="0" w:space="0" w:color="auto"/>
      </w:divBdr>
    </w:div>
    <w:div w:id="345912557">
      <w:bodyDiv w:val="1"/>
      <w:marLeft w:val="0"/>
      <w:marRight w:val="0"/>
      <w:marTop w:val="0"/>
      <w:marBottom w:val="0"/>
      <w:divBdr>
        <w:top w:val="none" w:sz="0" w:space="0" w:color="auto"/>
        <w:left w:val="none" w:sz="0" w:space="0" w:color="auto"/>
        <w:bottom w:val="none" w:sz="0" w:space="0" w:color="auto"/>
        <w:right w:val="none" w:sz="0" w:space="0" w:color="auto"/>
      </w:divBdr>
    </w:div>
    <w:div w:id="390931403">
      <w:bodyDiv w:val="1"/>
      <w:marLeft w:val="0"/>
      <w:marRight w:val="0"/>
      <w:marTop w:val="0"/>
      <w:marBottom w:val="0"/>
      <w:divBdr>
        <w:top w:val="none" w:sz="0" w:space="0" w:color="auto"/>
        <w:left w:val="none" w:sz="0" w:space="0" w:color="auto"/>
        <w:bottom w:val="none" w:sz="0" w:space="0" w:color="auto"/>
        <w:right w:val="none" w:sz="0" w:space="0" w:color="auto"/>
      </w:divBdr>
    </w:div>
    <w:div w:id="498079909">
      <w:bodyDiv w:val="1"/>
      <w:marLeft w:val="0"/>
      <w:marRight w:val="0"/>
      <w:marTop w:val="0"/>
      <w:marBottom w:val="0"/>
      <w:divBdr>
        <w:top w:val="none" w:sz="0" w:space="0" w:color="auto"/>
        <w:left w:val="none" w:sz="0" w:space="0" w:color="auto"/>
        <w:bottom w:val="none" w:sz="0" w:space="0" w:color="auto"/>
        <w:right w:val="none" w:sz="0" w:space="0" w:color="auto"/>
      </w:divBdr>
    </w:div>
    <w:div w:id="530604809">
      <w:bodyDiv w:val="1"/>
      <w:marLeft w:val="0"/>
      <w:marRight w:val="0"/>
      <w:marTop w:val="0"/>
      <w:marBottom w:val="0"/>
      <w:divBdr>
        <w:top w:val="none" w:sz="0" w:space="0" w:color="auto"/>
        <w:left w:val="none" w:sz="0" w:space="0" w:color="auto"/>
        <w:bottom w:val="none" w:sz="0" w:space="0" w:color="auto"/>
        <w:right w:val="none" w:sz="0" w:space="0" w:color="auto"/>
      </w:divBdr>
    </w:div>
    <w:div w:id="575091077">
      <w:bodyDiv w:val="1"/>
      <w:marLeft w:val="0"/>
      <w:marRight w:val="0"/>
      <w:marTop w:val="0"/>
      <w:marBottom w:val="0"/>
      <w:divBdr>
        <w:top w:val="none" w:sz="0" w:space="0" w:color="auto"/>
        <w:left w:val="none" w:sz="0" w:space="0" w:color="auto"/>
        <w:bottom w:val="none" w:sz="0" w:space="0" w:color="auto"/>
        <w:right w:val="none" w:sz="0" w:space="0" w:color="auto"/>
      </w:divBdr>
    </w:div>
    <w:div w:id="743263065">
      <w:bodyDiv w:val="1"/>
      <w:marLeft w:val="0"/>
      <w:marRight w:val="0"/>
      <w:marTop w:val="0"/>
      <w:marBottom w:val="0"/>
      <w:divBdr>
        <w:top w:val="none" w:sz="0" w:space="0" w:color="auto"/>
        <w:left w:val="none" w:sz="0" w:space="0" w:color="auto"/>
        <w:bottom w:val="none" w:sz="0" w:space="0" w:color="auto"/>
        <w:right w:val="none" w:sz="0" w:space="0" w:color="auto"/>
      </w:divBdr>
    </w:div>
    <w:div w:id="791024516">
      <w:bodyDiv w:val="1"/>
      <w:marLeft w:val="0"/>
      <w:marRight w:val="0"/>
      <w:marTop w:val="0"/>
      <w:marBottom w:val="0"/>
      <w:divBdr>
        <w:top w:val="none" w:sz="0" w:space="0" w:color="auto"/>
        <w:left w:val="none" w:sz="0" w:space="0" w:color="auto"/>
        <w:bottom w:val="none" w:sz="0" w:space="0" w:color="auto"/>
        <w:right w:val="none" w:sz="0" w:space="0" w:color="auto"/>
      </w:divBdr>
    </w:div>
    <w:div w:id="794837734">
      <w:bodyDiv w:val="1"/>
      <w:marLeft w:val="0"/>
      <w:marRight w:val="0"/>
      <w:marTop w:val="0"/>
      <w:marBottom w:val="0"/>
      <w:divBdr>
        <w:top w:val="none" w:sz="0" w:space="0" w:color="auto"/>
        <w:left w:val="none" w:sz="0" w:space="0" w:color="auto"/>
        <w:bottom w:val="none" w:sz="0" w:space="0" w:color="auto"/>
        <w:right w:val="none" w:sz="0" w:space="0" w:color="auto"/>
      </w:divBdr>
    </w:div>
    <w:div w:id="864906388">
      <w:bodyDiv w:val="1"/>
      <w:marLeft w:val="0"/>
      <w:marRight w:val="0"/>
      <w:marTop w:val="0"/>
      <w:marBottom w:val="0"/>
      <w:divBdr>
        <w:top w:val="none" w:sz="0" w:space="0" w:color="auto"/>
        <w:left w:val="none" w:sz="0" w:space="0" w:color="auto"/>
        <w:bottom w:val="none" w:sz="0" w:space="0" w:color="auto"/>
        <w:right w:val="none" w:sz="0" w:space="0" w:color="auto"/>
      </w:divBdr>
    </w:div>
    <w:div w:id="884414575">
      <w:bodyDiv w:val="1"/>
      <w:marLeft w:val="0"/>
      <w:marRight w:val="0"/>
      <w:marTop w:val="0"/>
      <w:marBottom w:val="0"/>
      <w:divBdr>
        <w:top w:val="none" w:sz="0" w:space="0" w:color="auto"/>
        <w:left w:val="none" w:sz="0" w:space="0" w:color="auto"/>
        <w:bottom w:val="none" w:sz="0" w:space="0" w:color="auto"/>
        <w:right w:val="none" w:sz="0" w:space="0" w:color="auto"/>
      </w:divBdr>
    </w:div>
    <w:div w:id="995492658">
      <w:bodyDiv w:val="1"/>
      <w:marLeft w:val="0"/>
      <w:marRight w:val="0"/>
      <w:marTop w:val="0"/>
      <w:marBottom w:val="0"/>
      <w:divBdr>
        <w:top w:val="none" w:sz="0" w:space="0" w:color="auto"/>
        <w:left w:val="none" w:sz="0" w:space="0" w:color="auto"/>
        <w:bottom w:val="none" w:sz="0" w:space="0" w:color="auto"/>
        <w:right w:val="none" w:sz="0" w:space="0" w:color="auto"/>
      </w:divBdr>
    </w:div>
    <w:div w:id="1126268153">
      <w:bodyDiv w:val="1"/>
      <w:marLeft w:val="0"/>
      <w:marRight w:val="0"/>
      <w:marTop w:val="0"/>
      <w:marBottom w:val="0"/>
      <w:divBdr>
        <w:top w:val="none" w:sz="0" w:space="0" w:color="auto"/>
        <w:left w:val="none" w:sz="0" w:space="0" w:color="auto"/>
        <w:bottom w:val="none" w:sz="0" w:space="0" w:color="auto"/>
        <w:right w:val="none" w:sz="0" w:space="0" w:color="auto"/>
      </w:divBdr>
    </w:div>
    <w:div w:id="1186866790">
      <w:bodyDiv w:val="1"/>
      <w:marLeft w:val="0"/>
      <w:marRight w:val="0"/>
      <w:marTop w:val="0"/>
      <w:marBottom w:val="0"/>
      <w:divBdr>
        <w:top w:val="none" w:sz="0" w:space="0" w:color="auto"/>
        <w:left w:val="none" w:sz="0" w:space="0" w:color="auto"/>
        <w:bottom w:val="none" w:sz="0" w:space="0" w:color="auto"/>
        <w:right w:val="none" w:sz="0" w:space="0" w:color="auto"/>
      </w:divBdr>
    </w:div>
    <w:div w:id="1214542813">
      <w:bodyDiv w:val="1"/>
      <w:marLeft w:val="0"/>
      <w:marRight w:val="0"/>
      <w:marTop w:val="0"/>
      <w:marBottom w:val="0"/>
      <w:divBdr>
        <w:top w:val="none" w:sz="0" w:space="0" w:color="auto"/>
        <w:left w:val="none" w:sz="0" w:space="0" w:color="auto"/>
        <w:bottom w:val="none" w:sz="0" w:space="0" w:color="auto"/>
        <w:right w:val="none" w:sz="0" w:space="0" w:color="auto"/>
      </w:divBdr>
    </w:div>
    <w:div w:id="1333483831">
      <w:bodyDiv w:val="1"/>
      <w:marLeft w:val="0"/>
      <w:marRight w:val="0"/>
      <w:marTop w:val="0"/>
      <w:marBottom w:val="0"/>
      <w:divBdr>
        <w:top w:val="none" w:sz="0" w:space="0" w:color="auto"/>
        <w:left w:val="none" w:sz="0" w:space="0" w:color="auto"/>
        <w:bottom w:val="none" w:sz="0" w:space="0" w:color="auto"/>
        <w:right w:val="none" w:sz="0" w:space="0" w:color="auto"/>
      </w:divBdr>
    </w:div>
    <w:div w:id="1339426046">
      <w:bodyDiv w:val="1"/>
      <w:marLeft w:val="0"/>
      <w:marRight w:val="0"/>
      <w:marTop w:val="0"/>
      <w:marBottom w:val="0"/>
      <w:divBdr>
        <w:top w:val="none" w:sz="0" w:space="0" w:color="auto"/>
        <w:left w:val="none" w:sz="0" w:space="0" w:color="auto"/>
        <w:bottom w:val="none" w:sz="0" w:space="0" w:color="auto"/>
        <w:right w:val="none" w:sz="0" w:space="0" w:color="auto"/>
      </w:divBdr>
    </w:div>
    <w:div w:id="1455634104">
      <w:bodyDiv w:val="1"/>
      <w:marLeft w:val="0"/>
      <w:marRight w:val="0"/>
      <w:marTop w:val="0"/>
      <w:marBottom w:val="0"/>
      <w:divBdr>
        <w:top w:val="none" w:sz="0" w:space="0" w:color="auto"/>
        <w:left w:val="none" w:sz="0" w:space="0" w:color="auto"/>
        <w:bottom w:val="none" w:sz="0" w:space="0" w:color="auto"/>
        <w:right w:val="none" w:sz="0" w:space="0" w:color="auto"/>
      </w:divBdr>
    </w:div>
    <w:div w:id="1755541782">
      <w:bodyDiv w:val="1"/>
      <w:marLeft w:val="0"/>
      <w:marRight w:val="0"/>
      <w:marTop w:val="0"/>
      <w:marBottom w:val="0"/>
      <w:divBdr>
        <w:top w:val="none" w:sz="0" w:space="0" w:color="auto"/>
        <w:left w:val="none" w:sz="0" w:space="0" w:color="auto"/>
        <w:bottom w:val="none" w:sz="0" w:space="0" w:color="auto"/>
        <w:right w:val="none" w:sz="0" w:space="0" w:color="auto"/>
      </w:divBdr>
    </w:div>
    <w:div w:id="1760444957">
      <w:bodyDiv w:val="1"/>
      <w:marLeft w:val="0"/>
      <w:marRight w:val="0"/>
      <w:marTop w:val="0"/>
      <w:marBottom w:val="0"/>
      <w:divBdr>
        <w:top w:val="none" w:sz="0" w:space="0" w:color="auto"/>
        <w:left w:val="none" w:sz="0" w:space="0" w:color="auto"/>
        <w:bottom w:val="none" w:sz="0" w:space="0" w:color="auto"/>
        <w:right w:val="none" w:sz="0" w:space="0" w:color="auto"/>
      </w:divBdr>
    </w:div>
    <w:div w:id="1824657800">
      <w:bodyDiv w:val="1"/>
      <w:marLeft w:val="0"/>
      <w:marRight w:val="0"/>
      <w:marTop w:val="0"/>
      <w:marBottom w:val="0"/>
      <w:divBdr>
        <w:top w:val="none" w:sz="0" w:space="0" w:color="auto"/>
        <w:left w:val="none" w:sz="0" w:space="0" w:color="auto"/>
        <w:bottom w:val="none" w:sz="0" w:space="0" w:color="auto"/>
        <w:right w:val="none" w:sz="0" w:space="0" w:color="auto"/>
      </w:divBdr>
    </w:div>
    <w:div w:id="1845439495">
      <w:bodyDiv w:val="1"/>
      <w:marLeft w:val="0"/>
      <w:marRight w:val="0"/>
      <w:marTop w:val="0"/>
      <w:marBottom w:val="0"/>
      <w:divBdr>
        <w:top w:val="none" w:sz="0" w:space="0" w:color="auto"/>
        <w:left w:val="none" w:sz="0" w:space="0" w:color="auto"/>
        <w:bottom w:val="none" w:sz="0" w:space="0" w:color="auto"/>
        <w:right w:val="none" w:sz="0" w:space="0" w:color="auto"/>
      </w:divBdr>
    </w:div>
    <w:div w:id="1846086594">
      <w:bodyDiv w:val="1"/>
      <w:marLeft w:val="0"/>
      <w:marRight w:val="0"/>
      <w:marTop w:val="0"/>
      <w:marBottom w:val="0"/>
      <w:divBdr>
        <w:top w:val="none" w:sz="0" w:space="0" w:color="auto"/>
        <w:left w:val="none" w:sz="0" w:space="0" w:color="auto"/>
        <w:bottom w:val="none" w:sz="0" w:space="0" w:color="auto"/>
        <w:right w:val="none" w:sz="0" w:space="0" w:color="auto"/>
      </w:divBdr>
    </w:div>
    <w:div w:id="1952741819">
      <w:bodyDiv w:val="1"/>
      <w:marLeft w:val="0"/>
      <w:marRight w:val="0"/>
      <w:marTop w:val="0"/>
      <w:marBottom w:val="0"/>
      <w:divBdr>
        <w:top w:val="none" w:sz="0" w:space="0" w:color="auto"/>
        <w:left w:val="none" w:sz="0" w:space="0" w:color="auto"/>
        <w:bottom w:val="none" w:sz="0" w:space="0" w:color="auto"/>
        <w:right w:val="none" w:sz="0" w:space="0" w:color="auto"/>
      </w:divBdr>
    </w:div>
    <w:div w:id="2008557716">
      <w:bodyDiv w:val="1"/>
      <w:marLeft w:val="0"/>
      <w:marRight w:val="0"/>
      <w:marTop w:val="0"/>
      <w:marBottom w:val="0"/>
      <w:divBdr>
        <w:top w:val="none" w:sz="0" w:space="0" w:color="auto"/>
        <w:left w:val="none" w:sz="0" w:space="0" w:color="auto"/>
        <w:bottom w:val="none" w:sz="0" w:space="0" w:color="auto"/>
        <w:right w:val="none" w:sz="0" w:space="0" w:color="auto"/>
      </w:divBdr>
    </w:div>
    <w:div w:id="2038580795">
      <w:bodyDiv w:val="1"/>
      <w:marLeft w:val="0"/>
      <w:marRight w:val="0"/>
      <w:marTop w:val="0"/>
      <w:marBottom w:val="0"/>
      <w:divBdr>
        <w:top w:val="none" w:sz="0" w:space="0" w:color="auto"/>
        <w:left w:val="none" w:sz="0" w:space="0" w:color="auto"/>
        <w:bottom w:val="none" w:sz="0" w:space="0" w:color="auto"/>
        <w:right w:val="none" w:sz="0" w:space="0" w:color="auto"/>
      </w:divBdr>
    </w:div>
    <w:div w:id="2080713882">
      <w:bodyDiv w:val="1"/>
      <w:marLeft w:val="0"/>
      <w:marRight w:val="0"/>
      <w:marTop w:val="0"/>
      <w:marBottom w:val="0"/>
      <w:divBdr>
        <w:top w:val="none" w:sz="0" w:space="0" w:color="auto"/>
        <w:left w:val="none" w:sz="0" w:space="0" w:color="auto"/>
        <w:bottom w:val="none" w:sz="0" w:space="0" w:color="auto"/>
        <w:right w:val="none" w:sz="0" w:space="0" w:color="auto"/>
      </w:divBdr>
    </w:div>
    <w:div w:id="21393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lguidelines.cast.org\CAST" TargetMode="External"/><Relationship Id="rId13" Type="http://schemas.openxmlformats.org/officeDocument/2006/relationships/hyperlink" Target="https://eric.ed.gov/?id=EJ1194555" TargetMode="External"/><Relationship Id="rId18" Type="http://schemas.openxmlformats.org/officeDocument/2006/relationships/hyperlink" Target="http://www.peirce.org/writings/p27.html" TargetMode="External"/><Relationship Id="rId26" Type="http://schemas.openxmlformats.org/officeDocument/2006/relationships/hyperlink" Target="https://doi.org/10.3138/9781442673939" TargetMode="External"/><Relationship Id="rId3" Type="http://schemas.openxmlformats.org/officeDocument/2006/relationships/styles" Target="styles.xml"/><Relationship Id="rId21" Type="http://schemas.openxmlformats.org/officeDocument/2006/relationships/hyperlink" Target="http://www.cast.org/publications/2010/universal-design-for-learning-rose-gravel" TargetMode="External"/><Relationship Id="rId7" Type="http://schemas.openxmlformats.org/officeDocument/2006/relationships/endnotes" Target="endnotes.xml"/><Relationship Id="rId12" Type="http://schemas.openxmlformats.org/officeDocument/2006/relationships/hyperlink" Target="https://doi.org/10.1177%2F073194871003300103" TargetMode="External"/><Relationship Id="rId17" Type="http://schemas.openxmlformats.org/officeDocument/2006/relationships/hyperlink" Target="https://www.insidehighered.com/digital-learning/article/2019/12/02/professors-colleges-and-companies-struggle-make-digital" TargetMode="External"/><Relationship Id="rId25" Type="http://schemas.openxmlformats.org/officeDocument/2006/relationships/hyperlink" Target="https://doi.org/10.1111/j.1469-5812.2011.00837.x" TargetMode="External"/><Relationship Id="rId2" Type="http://schemas.openxmlformats.org/officeDocument/2006/relationships/numbering" Target="numbering.xml"/><Relationship Id="rId16" Type="http://schemas.openxmlformats.org/officeDocument/2006/relationships/hyperlink" Target="https://stephenkuusisto.com/2020/01/08/eye-rolling-and-disability-a-brief-explanation" TargetMode="External"/><Relationship Id="rId20" Type="http://schemas.openxmlformats.org/officeDocument/2006/relationships/hyperlink" Target="https://link.springer.com/book/10.1007/978-94-017-735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i:10.2979/trancharpeirsoc.47.1.62" TargetMode="External"/><Relationship Id="rId24" Type="http://schemas.openxmlformats.org/officeDocument/2006/relationships/hyperlink" Target="https://projects.ncsu.edu/ncsu/design/cud/pubs_p/pudfiletoc.htm" TargetMode="External"/><Relationship Id="rId5" Type="http://schemas.openxmlformats.org/officeDocument/2006/relationships/webSettings" Target="webSettings.xml"/><Relationship Id="rId15" Type="http://schemas.openxmlformats.org/officeDocument/2006/relationships/hyperlink" Target="https://stephenkuusisto.com/2019/06/04/universal-design-and-utopian-insistence/" TargetMode="External"/><Relationship Id="rId23" Type="http://schemas.openxmlformats.org/officeDocument/2006/relationships/hyperlink" Target="https://uk.sagepub.com/en-gb/eur/the-interpreted-world/book227009" TargetMode="External"/><Relationship Id="rId28" Type="http://schemas.openxmlformats.org/officeDocument/2006/relationships/header" Target="header2.xml"/><Relationship Id="rId10" Type="http://schemas.openxmlformats.org/officeDocument/2006/relationships/hyperlink" Target="http://www.cast.org/" TargetMode="External"/><Relationship Id="rId19" Type="http://schemas.openxmlformats.org/officeDocument/2006/relationships/hyperlink" Target="https://muse.jhu.edu/book/2865" TargetMode="External"/><Relationship Id="rId4" Type="http://schemas.openxmlformats.org/officeDocument/2006/relationships/settings" Target="settings.xml"/><Relationship Id="rId9" Type="http://schemas.openxmlformats.org/officeDocument/2006/relationships/hyperlink" Target="http://udlguidelines.cast.org/more/about-graphic-organizer" TargetMode="External"/><Relationship Id="rId14" Type="http://schemas.openxmlformats.org/officeDocument/2006/relationships/hyperlink" Target="https://doi.org/10.5840/ajs19875219" TargetMode="External"/><Relationship Id="rId22" Type="http://schemas.openxmlformats.org/officeDocument/2006/relationships/hyperlink" Target="https://doi.org/10.29173/pandpr19805"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15D5-889C-45A2-B8CA-622343B1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8033</Words>
  <Characters>45790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2021-02-17T19:21:00Z</dcterms:created>
  <dcterms:modified xsi:type="dcterms:W3CDTF">2021-02-17T19:21:00Z</dcterms:modified>
  <cp:category/>
</cp:coreProperties>
</file>